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73A7D">
      <w:pPr>
        <w:pStyle w:val="9"/>
        <w:snapToGrid w:val="0"/>
        <w:spacing w:before="0" w:after="0"/>
        <w:contextualSpacing/>
        <w:rPr>
          <w:rFonts w:ascii="黑体" w:hAnsi="黑体" w:eastAsia="黑体"/>
        </w:rPr>
      </w:pPr>
      <w:bookmarkStart w:id="2" w:name="_GoBack"/>
      <w:bookmarkEnd w:id="2"/>
    </w:p>
    <w:p w14:paraId="4708A41B">
      <w:pPr>
        <w:pStyle w:val="9"/>
        <w:snapToGrid w:val="0"/>
        <w:spacing w:before="0" w:after="0"/>
        <w:contextualSpacing/>
        <w:rPr>
          <w:rFonts w:ascii="黑体" w:hAnsi="黑体" w:eastAsia="黑体"/>
        </w:rPr>
      </w:pPr>
      <w:r>
        <w:rPr>
          <w:rFonts w:hint="eastAsia" w:ascii="黑体" w:hAnsi="黑体" w:eastAsia="黑体"/>
        </w:rPr>
        <w:t>202</w:t>
      </w:r>
      <w:r>
        <w:rPr>
          <w:rFonts w:ascii="黑体" w:hAnsi="黑体" w:eastAsia="黑体"/>
        </w:rPr>
        <w:t>6年</w:t>
      </w:r>
      <w:r>
        <w:rPr>
          <w:rFonts w:hint="eastAsia" w:ascii="黑体" w:hAnsi="黑体" w:eastAsia="黑体"/>
        </w:rPr>
        <w:t>国别和区域</w:t>
      </w:r>
      <w:r>
        <w:rPr>
          <w:rFonts w:ascii="黑体" w:hAnsi="黑体" w:eastAsia="黑体"/>
        </w:rPr>
        <w:t>研究</w:t>
      </w:r>
      <w:r>
        <w:rPr>
          <w:rFonts w:hint="eastAsia" w:ascii="黑体" w:hAnsi="黑体" w:eastAsia="黑体"/>
        </w:rPr>
        <w:t>人才支持计划实施办法</w:t>
      </w:r>
    </w:p>
    <w:p w14:paraId="118EBE11">
      <w:pPr>
        <w:contextualSpacing/>
      </w:pPr>
    </w:p>
    <w:p w14:paraId="209DBF71">
      <w:pPr>
        <w:widowControl/>
        <w:shd w:val="clear" w:color="auto" w:fill="FFFFFF"/>
        <w:adjustRightInd w:val="0"/>
        <w:snapToGrid w:val="0"/>
        <w:spacing w:before="156" w:beforeLines="50" w:line="240" w:lineRule="atLeast"/>
        <w:contextualSpacing/>
        <w:jc w:val="center"/>
        <w:rPr>
          <w:rFonts w:ascii="黑体" w:hAnsi="黑体" w:eastAsia="黑体" w:cs="宋体"/>
          <w:b/>
          <w:bCs/>
          <w:kern w:val="0"/>
          <w:sz w:val="28"/>
          <w:szCs w:val="28"/>
        </w:rPr>
      </w:pPr>
      <w:r>
        <w:rPr>
          <w:rFonts w:ascii="黑体" w:hAnsi="黑体" w:eastAsia="黑体" w:cs="宋体"/>
          <w:b/>
          <w:bCs/>
          <w:kern w:val="0"/>
          <w:sz w:val="28"/>
          <w:szCs w:val="28"/>
        </w:rPr>
        <w:t>第一章</w:t>
      </w:r>
      <w:r>
        <w:rPr>
          <w:rFonts w:hint="eastAsia" w:ascii="黑体" w:hAnsi="黑体" w:eastAsia="黑体" w:cs="宋体"/>
          <w:b/>
          <w:bCs/>
          <w:kern w:val="0"/>
          <w:sz w:val="28"/>
          <w:szCs w:val="28"/>
        </w:rPr>
        <w:t xml:space="preserve"> </w:t>
      </w:r>
      <w:r>
        <w:rPr>
          <w:rFonts w:ascii="黑体" w:hAnsi="黑体" w:eastAsia="黑体" w:cs="宋体"/>
          <w:b/>
          <w:bCs/>
          <w:kern w:val="0"/>
          <w:sz w:val="28"/>
          <w:szCs w:val="28"/>
        </w:rPr>
        <w:t xml:space="preserve"> 总则</w:t>
      </w:r>
    </w:p>
    <w:p w14:paraId="196C3A0F">
      <w:pPr>
        <w:spacing w:before="156" w:beforeLines="50"/>
        <w:ind w:firstLine="482" w:firstLineChars="200"/>
        <w:contextualSpacing/>
        <w:rPr>
          <w:rFonts w:ascii="黑体" w:hAnsi="黑体" w:eastAsia="黑体" w:cs="Arial"/>
          <w:kern w:val="0"/>
          <w:sz w:val="24"/>
          <w:szCs w:val="24"/>
        </w:rPr>
      </w:pPr>
      <w:r>
        <w:rPr>
          <w:rFonts w:ascii="黑体" w:hAnsi="黑体" w:eastAsia="黑体" w:cs="Arial"/>
          <w:b/>
          <w:kern w:val="0"/>
          <w:sz w:val="24"/>
          <w:szCs w:val="24"/>
        </w:rPr>
        <w:t>第一条</w:t>
      </w:r>
      <w:r>
        <w:rPr>
          <w:rFonts w:ascii="黑体" w:hAnsi="黑体" w:eastAsia="黑体" w:cs="Arial"/>
          <w:kern w:val="0"/>
          <w:sz w:val="24"/>
          <w:szCs w:val="24"/>
        </w:rPr>
        <w:t xml:space="preserve"> </w:t>
      </w:r>
      <w:r>
        <w:rPr>
          <w:rFonts w:hint="eastAsia" w:ascii="黑体" w:hAnsi="黑体" w:eastAsia="黑体" w:cs="Arial"/>
          <w:kern w:val="0"/>
          <w:sz w:val="24"/>
          <w:szCs w:val="24"/>
        </w:rPr>
        <w:t>本项目旨在</w:t>
      </w:r>
      <w:r>
        <w:rPr>
          <w:rFonts w:ascii="黑体" w:hAnsi="黑体" w:eastAsia="黑体" w:cs="Arial"/>
          <w:kern w:val="0"/>
          <w:sz w:val="24"/>
          <w:szCs w:val="24"/>
        </w:rPr>
        <w:t>服务国家对外开放</w:t>
      </w:r>
      <w:r>
        <w:rPr>
          <w:rFonts w:hint="eastAsia" w:ascii="黑体" w:hAnsi="黑体" w:eastAsia="黑体" w:cs="Arial"/>
          <w:kern w:val="0"/>
          <w:sz w:val="24"/>
          <w:szCs w:val="24"/>
        </w:rPr>
        <w:t>大局、</w:t>
      </w:r>
      <w:r>
        <w:rPr>
          <w:rFonts w:ascii="黑体" w:hAnsi="黑体" w:eastAsia="黑体" w:cs="Arial"/>
          <w:kern w:val="0"/>
          <w:sz w:val="24"/>
          <w:szCs w:val="24"/>
        </w:rPr>
        <w:t>“一带一路”</w:t>
      </w:r>
      <w:r>
        <w:rPr>
          <w:rFonts w:hint="eastAsia" w:ascii="黑体" w:hAnsi="黑体" w:eastAsia="黑体" w:cs="Arial"/>
          <w:kern w:val="0"/>
          <w:sz w:val="24"/>
          <w:szCs w:val="24"/>
        </w:rPr>
        <w:t>倡议、人类命运共同体建设需要，加快</w:t>
      </w:r>
      <w:r>
        <w:rPr>
          <w:rFonts w:ascii="黑体" w:hAnsi="黑体" w:eastAsia="黑体" w:cs="Arial"/>
          <w:kern w:val="0"/>
          <w:sz w:val="24"/>
          <w:szCs w:val="24"/>
        </w:rPr>
        <w:t>培养和储备一批具有国际视野、通晓国际规则、能够参与国际事务</w:t>
      </w:r>
      <w:r>
        <w:rPr>
          <w:rFonts w:hint="eastAsia" w:ascii="黑体" w:hAnsi="黑体" w:eastAsia="黑体" w:cs="Arial"/>
          <w:kern w:val="0"/>
          <w:sz w:val="24"/>
          <w:szCs w:val="24"/>
        </w:rPr>
        <w:t>的</w:t>
      </w:r>
      <w:r>
        <w:rPr>
          <w:rFonts w:ascii="黑体" w:hAnsi="黑体" w:eastAsia="黑体" w:cs="Arial"/>
          <w:kern w:val="0"/>
          <w:sz w:val="24"/>
          <w:szCs w:val="24"/>
        </w:rPr>
        <w:t>国</w:t>
      </w:r>
      <w:r>
        <w:rPr>
          <w:rFonts w:hint="eastAsia" w:ascii="黑体" w:hAnsi="黑体" w:eastAsia="黑体" w:cs="Arial"/>
          <w:kern w:val="0"/>
          <w:sz w:val="24"/>
          <w:szCs w:val="24"/>
        </w:rPr>
        <w:t>别和</w:t>
      </w:r>
      <w:r>
        <w:rPr>
          <w:rFonts w:ascii="黑体" w:hAnsi="黑体" w:eastAsia="黑体" w:cs="Arial"/>
          <w:kern w:val="0"/>
          <w:sz w:val="24"/>
          <w:szCs w:val="24"/>
        </w:rPr>
        <w:t>区域问题研究人才</w:t>
      </w:r>
      <w:r>
        <w:rPr>
          <w:rFonts w:hint="eastAsia" w:ascii="黑体" w:hAnsi="黑体" w:eastAsia="黑体" w:cs="Arial"/>
          <w:kern w:val="0"/>
          <w:sz w:val="24"/>
          <w:szCs w:val="24"/>
        </w:rPr>
        <w:t>。为做好202</w:t>
      </w:r>
      <w:r>
        <w:rPr>
          <w:rFonts w:ascii="黑体" w:hAnsi="黑体" w:eastAsia="黑体" w:cs="Arial"/>
          <w:kern w:val="0"/>
          <w:sz w:val="24"/>
          <w:szCs w:val="24"/>
        </w:rPr>
        <w:t>6</w:t>
      </w:r>
      <w:r>
        <w:rPr>
          <w:rFonts w:hint="eastAsia" w:ascii="黑体" w:hAnsi="黑体" w:eastAsia="黑体" w:cs="Arial"/>
          <w:kern w:val="0"/>
          <w:sz w:val="24"/>
          <w:szCs w:val="24"/>
        </w:rPr>
        <w:t>年项目实施工作，特制定本办法</w:t>
      </w:r>
      <w:r>
        <w:rPr>
          <w:rFonts w:ascii="黑体" w:hAnsi="黑体" w:eastAsia="黑体" w:cs="Arial"/>
          <w:kern w:val="0"/>
          <w:sz w:val="24"/>
          <w:szCs w:val="24"/>
        </w:rPr>
        <w:t>。</w:t>
      </w:r>
    </w:p>
    <w:p w14:paraId="2EC1E746">
      <w:pPr>
        <w:widowControl/>
        <w:shd w:val="clear" w:color="auto" w:fill="FFFFFF"/>
        <w:adjustRightInd w:val="0"/>
        <w:snapToGrid w:val="0"/>
        <w:spacing w:before="156" w:beforeLines="50" w:line="240" w:lineRule="atLeast"/>
        <w:ind w:firstLine="482" w:firstLineChars="200"/>
        <w:contextualSpacing/>
        <w:rPr>
          <w:rFonts w:ascii="黑体" w:hAnsi="黑体" w:eastAsia="黑体" w:cs="宋体"/>
          <w:kern w:val="0"/>
          <w:sz w:val="24"/>
          <w:szCs w:val="24"/>
        </w:rPr>
      </w:pPr>
      <w:r>
        <w:rPr>
          <w:rFonts w:ascii="黑体" w:hAnsi="黑体" w:eastAsia="黑体" w:cs="宋体"/>
          <w:b/>
          <w:kern w:val="0"/>
          <w:sz w:val="24"/>
          <w:szCs w:val="24"/>
        </w:rPr>
        <w:t xml:space="preserve">第二条 </w:t>
      </w:r>
      <w:r>
        <w:rPr>
          <w:rFonts w:ascii="黑体" w:hAnsi="黑体" w:eastAsia="黑体" w:cs="宋体"/>
          <w:kern w:val="0"/>
          <w:sz w:val="24"/>
          <w:szCs w:val="24"/>
        </w:rPr>
        <w:t>国家留学基金管理委员会（以下简称国家留学基金委）负责本项目的组织实施工作。</w:t>
      </w:r>
    </w:p>
    <w:p w14:paraId="6D4B9366">
      <w:pPr>
        <w:widowControl/>
        <w:shd w:val="clear" w:color="auto" w:fill="FFFFFF"/>
        <w:adjustRightInd w:val="0"/>
        <w:snapToGrid w:val="0"/>
        <w:spacing w:before="156" w:beforeLines="50" w:line="240" w:lineRule="atLeast"/>
        <w:ind w:firstLine="482" w:firstLineChars="200"/>
        <w:contextualSpacing/>
        <w:rPr>
          <w:rFonts w:ascii="黑体" w:hAnsi="黑体" w:eastAsia="黑体" w:cs="Arial"/>
          <w:kern w:val="0"/>
          <w:sz w:val="24"/>
          <w:szCs w:val="24"/>
        </w:rPr>
      </w:pPr>
      <w:r>
        <w:rPr>
          <w:rFonts w:hint="eastAsia" w:ascii="黑体" w:hAnsi="黑体" w:eastAsia="黑体" w:cs="宋体"/>
          <w:b/>
          <w:kern w:val="0"/>
          <w:sz w:val="24"/>
          <w:szCs w:val="24"/>
        </w:rPr>
        <w:t>第三条</w:t>
      </w:r>
      <w:r>
        <w:rPr>
          <w:rFonts w:hint="eastAsia" w:ascii="黑体" w:hAnsi="黑体" w:eastAsia="黑体" w:cs="宋体"/>
          <w:kern w:val="0"/>
          <w:sz w:val="24"/>
          <w:szCs w:val="24"/>
        </w:rPr>
        <w:t xml:space="preserve"> </w:t>
      </w:r>
      <w:r>
        <w:rPr>
          <w:rFonts w:hint="eastAsia" w:ascii="黑体" w:hAnsi="黑体" w:eastAsia="黑体" w:cs="Arial"/>
          <w:kern w:val="0"/>
          <w:sz w:val="24"/>
          <w:szCs w:val="24"/>
        </w:rPr>
        <w:t>本</w:t>
      </w:r>
      <w:r>
        <w:rPr>
          <w:rFonts w:ascii="黑体" w:hAnsi="黑体" w:eastAsia="黑体" w:cs="Arial"/>
          <w:kern w:val="0"/>
          <w:sz w:val="24"/>
          <w:szCs w:val="24"/>
        </w:rPr>
        <w:t>项目2026年选派规模为500人</w:t>
      </w:r>
      <w:r>
        <w:rPr>
          <w:rFonts w:hint="eastAsia" w:ascii="黑体" w:hAnsi="黑体" w:eastAsia="黑体" w:cs="Arial"/>
          <w:kern w:val="0"/>
          <w:sz w:val="24"/>
          <w:szCs w:val="24"/>
        </w:rPr>
        <w:t>。每个获批项目可连续支持三年，三年累计可选派不超过20人。本项目</w:t>
      </w:r>
      <w:r>
        <w:rPr>
          <w:rFonts w:ascii="黑体" w:hAnsi="黑体" w:eastAsia="黑体" w:cs="Arial"/>
          <w:kern w:val="0"/>
          <w:sz w:val="24"/>
          <w:szCs w:val="24"/>
        </w:rPr>
        <w:t>采取各单位向国家留学基金委申报项目，国家留学基金委组织专家评审，确定资助项目及各项目选派类别与规模，项目单位按照获批项目及人选条件选拔推荐人选，经国家留学基金委审核录取后派出的模式实施。</w:t>
      </w:r>
    </w:p>
    <w:p w14:paraId="70EB8552">
      <w:pPr>
        <w:widowControl/>
        <w:shd w:val="clear" w:color="auto" w:fill="FFFFFF"/>
        <w:adjustRightInd w:val="0"/>
        <w:snapToGrid w:val="0"/>
        <w:spacing w:before="156" w:beforeLines="50" w:line="240" w:lineRule="atLeast"/>
        <w:ind w:firstLine="482" w:firstLineChars="200"/>
        <w:contextualSpacing/>
        <w:rPr>
          <w:rFonts w:ascii="黑体" w:hAnsi="黑体" w:eastAsia="黑体" w:cs="Arial"/>
          <w:kern w:val="0"/>
          <w:sz w:val="24"/>
          <w:szCs w:val="24"/>
        </w:rPr>
      </w:pPr>
      <w:r>
        <w:rPr>
          <w:rFonts w:hint="eastAsia" w:ascii="黑体" w:hAnsi="黑体" w:eastAsia="黑体" w:cs="Arial"/>
          <w:b/>
          <w:kern w:val="0"/>
          <w:sz w:val="24"/>
          <w:szCs w:val="24"/>
        </w:rPr>
        <w:t>第四条</w:t>
      </w:r>
      <w:r>
        <w:rPr>
          <w:rFonts w:hint="eastAsia" w:ascii="黑体" w:hAnsi="黑体" w:eastAsia="黑体" w:cs="Arial"/>
          <w:kern w:val="0"/>
          <w:sz w:val="24"/>
          <w:szCs w:val="24"/>
        </w:rPr>
        <w:t xml:space="preserve"> 本</w:t>
      </w:r>
      <w:r>
        <w:rPr>
          <w:rFonts w:ascii="黑体" w:hAnsi="黑体" w:eastAsia="黑体" w:cs="Arial"/>
          <w:kern w:val="0"/>
          <w:sz w:val="24"/>
          <w:szCs w:val="24"/>
        </w:rPr>
        <w:t>项目选派类别为</w:t>
      </w:r>
      <w:r>
        <w:rPr>
          <w:rFonts w:hint="eastAsia" w:ascii="黑体" w:hAnsi="黑体" w:eastAsia="黑体" w:cs="Arial"/>
          <w:kern w:val="0"/>
          <w:sz w:val="24"/>
          <w:szCs w:val="24"/>
        </w:rPr>
        <w:t>高级研究学者、访问学者、博士后、赴</w:t>
      </w:r>
      <w:r>
        <w:rPr>
          <w:rFonts w:ascii="黑体" w:hAnsi="黑体" w:eastAsia="黑体" w:cs="Arial"/>
          <w:kern w:val="0"/>
          <w:sz w:val="24"/>
          <w:szCs w:val="24"/>
        </w:rPr>
        <w:t>国外攻读博士学位研究生、联合培养博士研究生</w:t>
      </w:r>
      <w:r>
        <w:rPr>
          <w:rFonts w:hint="eastAsia" w:ascii="黑体" w:hAnsi="黑体" w:eastAsia="黑体" w:cs="Arial"/>
          <w:kern w:val="0"/>
          <w:sz w:val="24"/>
          <w:szCs w:val="24"/>
        </w:rPr>
        <w:t>、联合培养硕士研究生。</w:t>
      </w:r>
      <w:r>
        <w:rPr>
          <w:rFonts w:hint="eastAsia" w:ascii="黑体" w:hAnsi="黑体" w:eastAsia="黑体" w:cs="宋体"/>
          <w:kern w:val="0"/>
          <w:sz w:val="24"/>
          <w:szCs w:val="24"/>
        </w:rPr>
        <w:t>各单位</w:t>
      </w:r>
      <w:r>
        <w:rPr>
          <w:rFonts w:ascii="黑体" w:hAnsi="黑体" w:eastAsia="黑体" w:cs="宋体"/>
          <w:kern w:val="0"/>
          <w:sz w:val="24"/>
          <w:szCs w:val="24"/>
        </w:rPr>
        <w:t>可</w:t>
      </w:r>
      <w:r>
        <w:rPr>
          <w:rFonts w:hint="eastAsia" w:ascii="黑体" w:hAnsi="黑体" w:eastAsia="黑体" w:cs="宋体"/>
          <w:kern w:val="0"/>
          <w:sz w:val="24"/>
          <w:szCs w:val="24"/>
        </w:rPr>
        <w:t>结合国别和区域研究</w:t>
      </w:r>
      <w:r>
        <w:rPr>
          <w:rFonts w:ascii="黑体" w:hAnsi="黑体" w:eastAsia="黑体" w:cs="宋体"/>
          <w:kern w:val="0"/>
          <w:sz w:val="24"/>
          <w:szCs w:val="24"/>
        </w:rPr>
        <w:t>人才</w:t>
      </w:r>
      <w:r>
        <w:rPr>
          <w:rFonts w:hint="eastAsia" w:ascii="黑体" w:hAnsi="黑体" w:eastAsia="黑体" w:cs="宋体"/>
          <w:kern w:val="0"/>
          <w:sz w:val="24"/>
          <w:szCs w:val="24"/>
        </w:rPr>
        <w:t>培养</w:t>
      </w:r>
      <w:r>
        <w:rPr>
          <w:rFonts w:ascii="黑体" w:hAnsi="黑体" w:eastAsia="黑体" w:cs="宋体"/>
          <w:kern w:val="0"/>
          <w:sz w:val="24"/>
          <w:szCs w:val="24"/>
        </w:rPr>
        <w:t>需求，</w:t>
      </w:r>
      <w:r>
        <w:rPr>
          <w:rFonts w:hint="eastAsia" w:ascii="黑体" w:hAnsi="黑体" w:eastAsia="黑体" w:cs="宋体"/>
          <w:kern w:val="0"/>
          <w:sz w:val="24"/>
          <w:szCs w:val="24"/>
        </w:rPr>
        <w:t>依托与</w:t>
      </w:r>
      <w:r>
        <w:rPr>
          <w:rFonts w:ascii="黑体" w:hAnsi="黑体" w:eastAsia="黑体" w:cs="宋体"/>
          <w:kern w:val="0"/>
          <w:sz w:val="24"/>
          <w:szCs w:val="24"/>
        </w:rPr>
        <w:t>国外院校</w:t>
      </w:r>
      <w:r>
        <w:rPr>
          <w:rFonts w:hint="eastAsia" w:ascii="黑体" w:hAnsi="黑体" w:eastAsia="黑体" w:cs="宋体"/>
          <w:kern w:val="0"/>
          <w:sz w:val="24"/>
          <w:szCs w:val="24"/>
        </w:rPr>
        <w:t>开展</w:t>
      </w:r>
      <w:r>
        <w:rPr>
          <w:rFonts w:ascii="黑体" w:hAnsi="黑体" w:eastAsia="黑体" w:cs="宋体"/>
          <w:kern w:val="0"/>
          <w:sz w:val="24"/>
          <w:szCs w:val="24"/>
        </w:rPr>
        <w:t>的</w:t>
      </w:r>
      <w:r>
        <w:rPr>
          <w:rFonts w:ascii="黑体" w:hAnsi="黑体" w:eastAsia="黑体"/>
          <w:sz w:val="24"/>
          <w:szCs w:val="24"/>
        </w:rPr>
        <w:t>人才培养合作</w:t>
      </w:r>
      <w:r>
        <w:rPr>
          <w:rFonts w:hint="eastAsia" w:ascii="黑体" w:hAnsi="黑体" w:eastAsia="黑体"/>
          <w:sz w:val="24"/>
          <w:szCs w:val="24"/>
        </w:rPr>
        <w:t>渠道，</w:t>
      </w:r>
      <w:r>
        <w:rPr>
          <w:rFonts w:ascii="黑体" w:hAnsi="黑体" w:eastAsia="黑体"/>
          <w:sz w:val="24"/>
          <w:szCs w:val="24"/>
        </w:rPr>
        <w:t>向国家留学基金委申请项目</w:t>
      </w:r>
      <w:r>
        <w:rPr>
          <w:rFonts w:hint="eastAsia" w:ascii="黑体" w:hAnsi="黑体" w:eastAsia="黑体" w:cs="宋体"/>
          <w:kern w:val="0"/>
          <w:sz w:val="24"/>
          <w:szCs w:val="24"/>
        </w:rPr>
        <w:t>。同一项目</w:t>
      </w:r>
      <w:r>
        <w:rPr>
          <w:rFonts w:ascii="黑体" w:hAnsi="黑体" w:eastAsia="黑体" w:cs="宋体"/>
          <w:kern w:val="0"/>
          <w:sz w:val="24"/>
          <w:szCs w:val="24"/>
        </w:rPr>
        <w:t>可包含多个留学身份</w:t>
      </w:r>
      <w:r>
        <w:rPr>
          <w:rFonts w:hint="eastAsia" w:ascii="黑体" w:hAnsi="黑体" w:eastAsia="黑体" w:cs="宋体"/>
          <w:kern w:val="0"/>
          <w:sz w:val="24"/>
          <w:szCs w:val="24"/>
        </w:rPr>
        <w:t>，</w:t>
      </w:r>
      <w:r>
        <w:rPr>
          <w:rFonts w:ascii="黑体" w:hAnsi="黑体" w:eastAsia="黑体" w:cs="宋体"/>
          <w:kern w:val="0"/>
          <w:sz w:val="24"/>
          <w:szCs w:val="24"/>
        </w:rPr>
        <w:t>留学人员可派往不同国别或单位。</w:t>
      </w:r>
    </w:p>
    <w:p w14:paraId="3B1D508C">
      <w:pPr>
        <w:widowControl/>
        <w:shd w:val="clear" w:color="auto" w:fill="FFFFFF"/>
        <w:adjustRightInd w:val="0"/>
        <w:snapToGrid w:val="0"/>
        <w:spacing w:before="156" w:beforeLines="50"/>
        <w:ind w:firstLine="482" w:firstLineChars="200"/>
        <w:contextualSpacing/>
        <w:rPr>
          <w:rFonts w:ascii="黑体" w:hAnsi="黑体" w:eastAsia="黑体" w:cs="Arial"/>
          <w:kern w:val="0"/>
          <w:sz w:val="24"/>
          <w:szCs w:val="24"/>
        </w:rPr>
      </w:pPr>
      <w:r>
        <w:rPr>
          <w:rFonts w:hint="eastAsia" w:ascii="黑体" w:hAnsi="黑体" w:eastAsia="黑体" w:cs="Arial"/>
          <w:b/>
          <w:kern w:val="0"/>
          <w:sz w:val="24"/>
          <w:szCs w:val="24"/>
        </w:rPr>
        <w:t>第五条</w:t>
      </w:r>
      <w:r>
        <w:rPr>
          <w:rFonts w:ascii="黑体" w:hAnsi="黑体" w:eastAsia="黑体" w:cs="Arial"/>
          <w:kern w:val="0"/>
          <w:sz w:val="24"/>
          <w:szCs w:val="24"/>
        </w:rPr>
        <w:t xml:space="preserve"> </w:t>
      </w:r>
      <w:r>
        <w:rPr>
          <w:rFonts w:hint="eastAsia" w:ascii="黑体" w:hAnsi="黑体" w:eastAsia="黑体" w:cs="Arial"/>
          <w:kern w:val="0"/>
          <w:sz w:val="24"/>
          <w:szCs w:val="24"/>
        </w:rPr>
        <w:t>本</w:t>
      </w:r>
      <w:r>
        <w:rPr>
          <w:rFonts w:ascii="黑体" w:hAnsi="黑体" w:eastAsia="黑体" w:cs="Arial"/>
          <w:kern w:val="0"/>
          <w:sz w:val="24"/>
          <w:szCs w:val="24"/>
        </w:rPr>
        <w:t>项目资助内容一般为一次往返国际旅费和资助期限内的奖学金。一次往返国际旅费是指用于资助国家公派出国留学人员出国、结束学业回国的交通费用（各一次）；奖学金是指用于资助符合条件的国家公派出国留学人员，在国外学习期间的基本学习生活费用，可用于支付生活费、注册费、医疗保险费、书籍资料费、板凳费、签证延长费等。奖学金资助标准及方式按照国家有关规定执行。</w:t>
      </w:r>
      <w:r>
        <w:rPr>
          <w:rFonts w:hint="eastAsia" w:ascii="黑体" w:hAnsi="黑体" w:eastAsia="黑体" w:cs="Arial"/>
          <w:kern w:val="0"/>
          <w:sz w:val="24"/>
          <w:szCs w:val="24"/>
        </w:rPr>
        <w:t>本项目</w:t>
      </w:r>
      <w:r>
        <w:rPr>
          <w:rFonts w:ascii="黑体" w:hAnsi="黑体" w:eastAsia="黑体" w:cs="Arial"/>
          <w:kern w:val="0"/>
          <w:sz w:val="24"/>
          <w:szCs w:val="24"/>
        </w:rPr>
        <w:t>对攻读</w:t>
      </w:r>
      <w:r>
        <w:rPr>
          <w:rFonts w:hint="eastAsia" w:ascii="黑体" w:hAnsi="黑体" w:eastAsia="黑体" w:cs="Arial"/>
          <w:kern w:val="0"/>
          <w:sz w:val="24"/>
          <w:szCs w:val="24"/>
        </w:rPr>
        <w:t>博士</w:t>
      </w:r>
      <w:r>
        <w:rPr>
          <w:rFonts w:ascii="黑体" w:hAnsi="黑体" w:eastAsia="黑体" w:cs="Arial"/>
          <w:kern w:val="0"/>
          <w:sz w:val="24"/>
          <w:szCs w:val="24"/>
        </w:rPr>
        <w:t>学位人员可提供学费资助</w:t>
      </w:r>
      <w:r>
        <w:rPr>
          <w:rFonts w:hint="eastAsia" w:ascii="黑体" w:hAnsi="黑体" w:eastAsia="黑体" w:cs="Arial"/>
          <w:kern w:val="0"/>
          <w:sz w:val="24"/>
          <w:szCs w:val="24"/>
        </w:rPr>
        <w:t>，对其他人员不提供学费资助</w:t>
      </w:r>
      <w:r>
        <w:rPr>
          <w:rFonts w:ascii="黑体" w:hAnsi="黑体" w:eastAsia="黑体" w:cs="Arial"/>
          <w:kern w:val="0"/>
          <w:sz w:val="24"/>
          <w:szCs w:val="24"/>
        </w:rPr>
        <w:t>。</w:t>
      </w:r>
    </w:p>
    <w:p w14:paraId="30C631B3">
      <w:pPr>
        <w:widowControl/>
        <w:shd w:val="clear" w:color="auto" w:fill="FFFFFF"/>
        <w:adjustRightInd w:val="0"/>
        <w:snapToGrid w:val="0"/>
        <w:spacing w:before="156" w:beforeLines="50"/>
        <w:ind w:firstLine="480" w:firstLineChars="200"/>
        <w:contextualSpacing/>
        <w:rPr>
          <w:rFonts w:ascii="黑体" w:hAnsi="黑体" w:eastAsia="黑体" w:cs="宋体"/>
          <w:kern w:val="0"/>
          <w:sz w:val="24"/>
          <w:szCs w:val="24"/>
        </w:rPr>
      </w:pPr>
    </w:p>
    <w:p w14:paraId="2D3B69D9">
      <w:pPr>
        <w:widowControl/>
        <w:shd w:val="clear" w:color="auto" w:fill="FFFFFF"/>
        <w:adjustRightInd w:val="0"/>
        <w:snapToGrid w:val="0"/>
        <w:spacing w:before="156" w:beforeLines="50" w:line="240" w:lineRule="atLeast"/>
        <w:contextualSpacing/>
        <w:jc w:val="center"/>
        <w:rPr>
          <w:rFonts w:ascii="黑体" w:hAnsi="黑体" w:eastAsia="黑体" w:cs="宋体"/>
          <w:b/>
          <w:bCs/>
          <w:kern w:val="0"/>
          <w:sz w:val="28"/>
          <w:szCs w:val="28"/>
        </w:rPr>
      </w:pPr>
      <w:r>
        <w:rPr>
          <w:rFonts w:ascii="黑体" w:hAnsi="黑体" w:eastAsia="黑体" w:cs="宋体"/>
          <w:b/>
          <w:bCs/>
          <w:kern w:val="0"/>
          <w:sz w:val="28"/>
          <w:szCs w:val="28"/>
        </w:rPr>
        <w:t>第二章</w:t>
      </w:r>
      <w:r>
        <w:rPr>
          <w:rFonts w:hint="eastAsia" w:ascii="黑体" w:hAnsi="黑体" w:eastAsia="黑体" w:cs="宋体"/>
          <w:b/>
          <w:bCs/>
          <w:kern w:val="0"/>
          <w:sz w:val="28"/>
          <w:szCs w:val="28"/>
        </w:rPr>
        <w:t xml:space="preserve"> </w:t>
      </w:r>
      <w:r>
        <w:rPr>
          <w:rFonts w:ascii="黑体" w:hAnsi="黑体" w:eastAsia="黑体" w:cs="宋体"/>
          <w:b/>
          <w:bCs/>
          <w:kern w:val="0"/>
          <w:sz w:val="28"/>
          <w:szCs w:val="28"/>
        </w:rPr>
        <w:t xml:space="preserve"> </w:t>
      </w:r>
      <w:r>
        <w:rPr>
          <w:rFonts w:hint="eastAsia" w:ascii="黑体" w:hAnsi="黑体" w:eastAsia="黑体" w:cs="宋体"/>
          <w:b/>
          <w:bCs/>
          <w:kern w:val="0"/>
          <w:sz w:val="28"/>
          <w:szCs w:val="28"/>
        </w:rPr>
        <w:t>立项办法</w:t>
      </w:r>
    </w:p>
    <w:p w14:paraId="205284AE">
      <w:pPr>
        <w:widowControl/>
        <w:shd w:val="clear" w:color="auto" w:fill="FFFFFF"/>
        <w:adjustRightInd w:val="0"/>
        <w:snapToGrid w:val="0"/>
        <w:spacing w:before="156" w:beforeLines="50" w:line="240" w:lineRule="atLeast"/>
        <w:ind w:firstLine="482" w:firstLineChars="200"/>
        <w:contextualSpacing/>
        <w:rPr>
          <w:rFonts w:ascii="黑体" w:hAnsi="黑体" w:eastAsia="黑体" w:cs="宋体"/>
          <w:kern w:val="0"/>
          <w:sz w:val="24"/>
          <w:szCs w:val="24"/>
        </w:rPr>
      </w:pPr>
      <w:r>
        <w:rPr>
          <w:rFonts w:ascii="黑体" w:hAnsi="黑体" w:eastAsia="黑体" w:cs="宋体"/>
          <w:b/>
          <w:kern w:val="0"/>
          <w:sz w:val="24"/>
          <w:szCs w:val="24"/>
        </w:rPr>
        <w:t>第</w:t>
      </w:r>
      <w:r>
        <w:rPr>
          <w:rFonts w:hint="eastAsia" w:ascii="黑体" w:hAnsi="黑体" w:eastAsia="黑体" w:cs="宋体"/>
          <w:b/>
          <w:kern w:val="0"/>
          <w:sz w:val="24"/>
          <w:szCs w:val="24"/>
        </w:rPr>
        <w:t>六</w:t>
      </w:r>
      <w:r>
        <w:rPr>
          <w:rFonts w:ascii="黑体" w:hAnsi="黑体" w:eastAsia="黑体" w:cs="宋体"/>
          <w:b/>
          <w:kern w:val="0"/>
          <w:sz w:val="24"/>
          <w:szCs w:val="24"/>
        </w:rPr>
        <w:t>条</w:t>
      </w:r>
      <w:r>
        <w:rPr>
          <w:rFonts w:hint="eastAsia" w:ascii="黑体" w:hAnsi="黑体" w:eastAsia="黑体" w:cs="宋体"/>
          <w:b/>
          <w:kern w:val="0"/>
          <w:sz w:val="24"/>
          <w:szCs w:val="24"/>
        </w:rPr>
        <w:t xml:space="preserve"> </w:t>
      </w:r>
      <w:r>
        <w:rPr>
          <w:rFonts w:hint="eastAsia" w:ascii="黑体" w:hAnsi="黑体" w:eastAsia="黑体" w:cs="宋体"/>
          <w:kern w:val="0"/>
          <w:sz w:val="24"/>
          <w:szCs w:val="24"/>
        </w:rPr>
        <w:t>本项目面</w:t>
      </w:r>
      <w:r>
        <w:rPr>
          <w:rFonts w:ascii="黑体" w:hAnsi="黑体" w:eastAsia="黑体" w:cs="宋体"/>
          <w:kern w:val="0"/>
          <w:sz w:val="24"/>
          <w:szCs w:val="24"/>
        </w:rPr>
        <w:t>向全国普通高等院校、科研院所</w:t>
      </w:r>
      <w:r>
        <w:rPr>
          <w:rFonts w:hint="eastAsia" w:ascii="黑体" w:hAnsi="黑体" w:eastAsia="黑体" w:cs="宋体"/>
          <w:kern w:val="0"/>
          <w:sz w:val="24"/>
          <w:szCs w:val="24"/>
        </w:rPr>
        <w:t>及有关单位实施。</w:t>
      </w:r>
    </w:p>
    <w:p w14:paraId="12D77E56">
      <w:pPr>
        <w:widowControl/>
        <w:shd w:val="clear" w:color="auto" w:fill="FFFFFF"/>
        <w:adjustRightInd w:val="0"/>
        <w:snapToGrid w:val="0"/>
        <w:spacing w:before="156" w:beforeLines="50" w:line="240" w:lineRule="atLeast"/>
        <w:ind w:firstLine="480" w:firstLineChars="200"/>
        <w:contextualSpacing/>
        <w:rPr>
          <w:rFonts w:ascii="黑体" w:hAnsi="黑体" w:eastAsia="黑体" w:cs="宋体"/>
          <w:kern w:val="0"/>
          <w:sz w:val="24"/>
          <w:szCs w:val="24"/>
        </w:rPr>
      </w:pPr>
      <w:r>
        <w:rPr>
          <w:rFonts w:hint="eastAsia" w:ascii="黑体" w:hAnsi="黑体" w:eastAsia="黑体" w:cs="宋体"/>
          <w:kern w:val="0"/>
          <w:sz w:val="24"/>
          <w:szCs w:val="24"/>
        </w:rPr>
        <w:t>1.主要支持研究“一带一路”相关国家和地区政治、经济、文化、教育等领域的专门人才，重点支持高校“区域国别学”学科建设，优先支持教育部国别和区域研究培育基地、备案中心申报，特别是以上基地及中心研究人员带课题出国调研、研修或攻读博士学位，加强国别区域研究。</w:t>
      </w:r>
    </w:p>
    <w:p w14:paraId="43AB9C7F">
      <w:pPr>
        <w:widowControl/>
        <w:shd w:val="clear" w:color="auto" w:fill="FFFFFF"/>
        <w:adjustRightInd w:val="0"/>
        <w:snapToGrid w:val="0"/>
        <w:spacing w:before="156" w:beforeLines="50" w:line="240" w:lineRule="atLeast"/>
        <w:ind w:firstLine="480" w:firstLineChars="200"/>
        <w:contextualSpacing/>
        <w:rPr>
          <w:rFonts w:ascii="黑体" w:hAnsi="黑体" w:eastAsia="黑体" w:cs="宋体"/>
          <w:kern w:val="0"/>
          <w:sz w:val="24"/>
          <w:szCs w:val="24"/>
        </w:rPr>
      </w:pPr>
      <w:r>
        <w:rPr>
          <w:rFonts w:ascii="黑体" w:hAnsi="黑体" w:eastAsia="黑体" w:cs="宋体"/>
          <w:kern w:val="0"/>
          <w:sz w:val="24"/>
          <w:szCs w:val="24"/>
        </w:rPr>
        <w:t>2</w:t>
      </w:r>
      <w:r>
        <w:rPr>
          <w:rFonts w:hint="eastAsia" w:ascii="黑体" w:hAnsi="黑体" w:eastAsia="黑体" w:cs="宋体"/>
          <w:kern w:val="0"/>
          <w:sz w:val="24"/>
          <w:szCs w:val="24"/>
        </w:rPr>
        <w:t>.根据实际需要支持中央国家机关及有关单位国别和区域研究机构相关人员出国研修或攻读博士学位。</w:t>
      </w:r>
    </w:p>
    <w:p w14:paraId="25DE6976">
      <w:pPr>
        <w:widowControl/>
        <w:shd w:val="clear" w:color="auto" w:fill="FFFFFF"/>
        <w:adjustRightInd w:val="0"/>
        <w:snapToGrid w:val="0"/>
        <w:spacing w:before="156" w:beforeLines="50" w:line="240" w:lineRule="atLeast"/>
        <w:ind w:firstLine="480" w:firstLineChars="200"/>
        <w:contextualSpacing/>
        <w:rPr>
          <w:rFonts w:ascii="黑体" w:hAnsi="黑体" w:eastAsia="黑体" w:cs="宋体"/>
          <w:kern w:val="0"/>
          <w:sz w:val="24"/>
          <w:szCs w:val="24"/>
        </w:rPr>
      </w:pPr>
      <w:r>
        <w:rPr>
          <w:rFonts w:ascii="黑体" w:hAnsi="黑体" w:eastAsia="黑体" w:cs="宋体"/>
          <w:kern w:val="0"/>
          <w:sz w:val="24"/>
          <w:szCs w:val="24"/>
        </w:rPr>
        <w:t>3</w:t>
      </w:r>
      <w:r>
        <w:rPr>
          <w:rFonts w:hint="eastAsia" w:ascii="黑体" w:hAnsi="黑体" w:eastAsia="黑体" w:cs="宋体"/>
          <w:kern w:val="0"/>
          <w:sz w:val="24"/>
          <w:szCs w:val="24"/>
        </w:rPr>
        <w:t>.选派拟作为国别和区域问题研究后备人才培养的应届本科、硕士毕业生出国攻读博士学位（包括硕博连读），选派国别和区域问题研究相关专业的在读硕士研究生、博士研究生出国进行联合培养。</w:t>
      </w:r>
    </w:p>
    <w:p w14:paraId="7DFB1808">
      <w:pPr>
        <w:widowControl/>
        <w:shd w:val="clear" w:color="auto" w:fill="FFFFFF"/>
        <w:adjustRightInd w:val="0"/>
        <w:snapToGrid w:val="0"/>
        <w:spacing w:before="156" w:beforeLines="50" w:line="240" w:lineRule="atLeast"/>
        <w:ind w:firstLine="482" w:firstLineChars="200"/>
        <w:contextualSpacing/>
        <w:rPr>
          <w:rFonts w:ascii="黑体" w:hAnsi="黑体" w:eastAsia="黑体" w:cs="宋体"/>
          <w:kern w:val="0"/>
          <w:sz w:val="24"/>
          <w:szCs w:val="24"/>
        </w:rPr>
      </w:pPr>
      <w:r>
        <w:rPr>
          <w:rFonts w:hint="eastAsia" w:ascii="黑体" w:hAnsi="黑体" w:eastAsia="黑体" w:cs="宋体"/>
          <w:b/>
          <w:kern w:val="0"/>
          <w:sz w:val="24"/>
          <w:szCs w:val="24"/>
        </w:rPr>
        <w:t xml:space="preserve">第七条 </w:t>
      </w:r>
      <w:r>
        <w:rPr>
          <w:rFonts w:hint="eastAsia" w:ascii="黑体" w:hAnsi="黑体" w:eastAsia="黑体" w:cs="宋体"/>
          <w:kern w:val="0"/>
          <w:sz w:val="24"/>
          <w:szCs w:val="24"/>
        </w:rPr>
        <w:t>本项目</w:t>
      </w:r>
      <w:r>
        <w:rPr>
          <w:rFonts w:hint="eastAsia" w:ascii="黑体" w:hAnsi="黑体" w:eastAsia="黑体" w:cs="Arial"/>
          <w:kern w:val="0"/>
          <w:sz w:val="24"/>
          <w:szCs w:val="24"/>
        </w:rPr>
        <w:t>采取</w:t>
      </w:r>
      <w:r>
        <w:rPr>
          <w:rFonts w:hint="eastAsia" w:ascii="黑体" w:hAnsi="黑体" w:eastAsia="黑体" w:cs="宋体"/>
          <w:kern w:val="0"/>
          <w:sz w:val="24"/>
          <w:szCs w:val="24"/>
        </w:rPr>
        <w:t>“先立项，后选拔”的项目制选派模式，申报主体为单位，各单位先行申报项目，国家留学基金委组织专家评审后确定资助项目。</w:t>
      </w:r>
      <w:r>
        <w:rPr>
          <w:rFonts w:hint="eastAsia" w:ascii="黑体" w:hAnsi="黑体" w:eastAsia="黑体" w:cs="宋体"/>
          <w:b/>
          <w:kern w:val="0"/>
          <w:sz w:val="24"/>
          <w:szCs w:val="24"/>
        </w:rPr>
        <w:t>项目评审分为初审和复审两个部分，通过初审的项目将另文通知参加复审(现场答辩)</w:t>
      </w:r>
      <w:r>
        <w:rPr>
          <w:rFonts w:hint="eastAsia" w:ascii="黑体" w:hAnsi="黑体" w:eastAsia="黑体" w:cs="宋体"/>
          <w:kern w:val="0"/>
          <w:sz w:val="24"/>
          <w:szCs w:val="24"/>
        </w:rPr>
        <w:t>。</w:t>
      </w:r>
    </w:p>
    <w:p w14:paraId="147F0F7D">
      <w:pPr>
        <w:widowControl/>
        <w:shd w:val="clear" w:color="auto" w:fill="FFFFFF"/>
        <w:adjustRightInd w:val="0"/>
        <w:snapToGrid w:val="0"/>
        <w:spacing w:before="156" w:beforeLines="50" w:line="240" w:lineRule="atLeast"/>
        <w:ind w:firstLine="480" w:firstLineChars="200"/>
        <w:contextualSpacing/>
        <w:rPr>
          <w:rFonts w:ascii="黑体" w:hAnsi="黑体" w:eastAsia="黑体" w:cs="Arial"/>
          <w:kern w:val="0"/>
          <w:sz w:val="24"/>
          <w:szCs w:val="24"/>
        </w:rPr>
      </w:pPr>
      <w:r>
        <w:rPr>
          <w:rFonts w:hint="eastAsia" w:ascii="黑体" w:hAnsi="黑体" w:eastAsia="黑体" w:cs="宋体"/>
          <w:kern w:val="0"/>
          <w:sz w:val="24"/>
          <w:szCs w:val="24"/>
        </w:rPr>
        <w:t>通过复审后的项目即可立项，项目单位按照获批项目及人选条件推荐人选，对申请人的申请材料进行审核，国家留学基金委仅做抽审复核，亦不再组织专家评审，审核无误后录取派出。</w:t>
      </w:r>
    </w:p>
    <w:p w14:paraId="4586F239">
      <w:pPr>
        <w:widowControl/>
        <w:shd w:val="clear" w:color="auto" w:fill="FFFFFF"/>
        <w:adjustRightInd w:val="0"/>
        <w:snapToGrid w:val="0"/>
        <w:spacing w:before="156" w:beforeLines="50" w:line="240" w:lineRule="atLeast"/>
        <w:ind w:firstLine="482" w:firstLineChars="200"/>
        <w:contextualSpacing/>
        <w:rPr>
          <w:rFonts w:ascii="黑体" w:hAnsi="黑体" w:eastAsia="黑体" w:cs="Arial"/>
          <w:kern w:val="0"/>
          <w:sz w:val="24"/>
          <w:szCs w:val="24"/>
        </w:rPr>
      </w:pPr>
      <w:r>
        <w:rPr>
          <w:rFonts w:hint="eastAsia" w:ascii="黑体" w:hAnsi="黑体" w:eastAsia="黑体" w:cs="宋体"/>
          <w:b/>
          <w:kern w:val="0"/>
          <w:sz w:val="24"/>
          <w:szCs w:val="24"/>
        </w:rPr>
        <w:t xml:space="preserve">第八条 </w:t>
      </w:r>
      <w:r>
        <w:rPr>
          <w:rFonts w:ascii="黑体" w:hAnsi="黑体" w:eastAsia="黑体" w:cs="Arial"/>
          <w:kern w:val="0"/>
          <w:sz w:val="24"/>
          <w:szCs w:val="24"/>
        </w:rPr>
        <w:t>2025年9月底前，各单位主管部门组织开展单位内部选拔，统筹研究确定2026年度申报项目，并按照《</w:t>
      </w:r>
      <w:r>
        <w:rPr>
          <w:rFonts w:hint="eastAsia" w:ascii="黑体" w:hAnsi="黑体" w:eastAsia="黑体" w:cs="Arial"/>
          <w:kern w:val="0"/>
          <w:sz w:val="24"/>
          <w:szCs w:val="24"/>
        </w:rPr>
        <w:t>2</w:t>
      </w:r>
      <w:r>
        <w:rPr>
          <w:rFonts w:ascii="黑体" w:hAnsi="黑体" w:eastAsia="黑体" w:cs="Arial"/>
          <w:kern w:val="0"/>
          <w:sz w:val="24"/>
          <w:szCs w:val="24"/>
        </w:rPr>
        <w:t>026</w:t>
      </w:r>
      <w:r>
        <w:rPr>
          <w:rFonts w:hint="eastAsia" w:ascii="黑体" w:hAnsi="黑体" w:eastAsia="黑体" w:cs="Arial"/>
          <w:kern w:val="0"/>
          <w:sz w:val="24"/>
          <w:szCs w:val="24"/>
        </w:rPr>
        <w:t>年国别和区域研究人才支持计划</w:t>
      </w:r>
      <w:r>
        <w:rPr>
          <w:rFonts w:ascii="黑体" w:hAnsi="黑体" w:eastAsia="黑体" w:cs="Arial"/>
          <w:kern w:val="0"/>
          <w:sz w:val="24"/>
          <w:szCs w:val="24"/>
        </w:rPr>
        <w:t>项目</w:t>
      </w:r>
      <w:r>
        <w:rPr>
          <w:rFonts w:hint="eastAsia" w:ascii="黑体" w:hAnsi="黑体" w:eastAsia="黑体" w:cs="Arial"/>
          <w:kern w:val="0"/>
          <w:sz w:val="24"/>
          <w:szCs w:val="24"/>
        </w:rPr>
        <w:t>单位</w:t>
      </w:r>
      <w:r>
        <w:rPr>
          <w:rFonts w:ascii="黑体" w:hAnsi="黑体" w:eastAsia="黑体" w:cs="Arial"/>
          <w:kern w:val="0"/>
          <w:sz w:val="24"/>
          <w:szCs w:val="24"/>
        </w:rPr>
        <w:t>申报材料及说明》准备项目申报材料。</w:t>
      </w:r>
    </w:p>
    <w:p w14:paraId="510F5DF8">
      <w:pPr>
        <w:widowControl/>
        <w:shd w:val="clear" w:color="auto" w:fill="FFFFFF"/>
        <w:adjustRightInd w:val="0"/>
        <w:snapToGrid w:val="0"/>
        <w:spacing w:before="156" w:beforeLines="50" w:line="240" w:lineRule="atLeast"/>
        <w:ind w:firstLine="482" w:firstLineChars="200"/>
        <w:contextualSpacing/>
        <w:rPr>
          <w:rFonts w:ascii="黑体" w:hAnsi="黑体" w:eastAsia="黑体" w:cs="宋体"/>
          <w:kern w:val="0"/>
          <w:sz w:val="24"/>
          <w:szCs w:val="24"/>
        </w:rPr>
      </w:pPr>
      <w:r>
        <w:rPr>
          <w:rFonts w:hint="eastAsia" w:ascii="黑体" w:hAnsi="黑体" w:eastAsia="黑体" w:cs="宋体"/>
          <w:b/>
          <w:kern w:val="0"/>
          <w:sz w:val="24"/>
          <w:szCs w:val="24"/>
        </w:rPr>
        <w:t xml:space="preserve">第九条 </w:t>
      </w:r>
      <w:r>
        <w:rPr>
          <w:rFonts w:hint="eastAsia" w:ascii="黑体" w:hAnsi="黑体" w:eastAsia="黑体" w:cs="宋体"/>
          <w:kern w:val="0"/>
          <w:sz w:val="24"/>
          <w:szCs w:val="24"/>
        </w:rPr>
        <w:t>具体申报方式</w:t>
      </w:r>
    </w:p>
    <w:p w14:paraId="6882813B">
      <w:pPr>
        <w:widowControl/>
        <w:shd w:val="clear" w:color="auto" w:fill="FFFFFF"/>
        <w:adjustRightInd w:val="0"/>
        <w:snapToGrid w:val="0"/>
        <w:spacing w:before="156" w:beforeLines="50"/>
        <w:ind w:firstLine="480" w:firstLineChars="200"/>
        <w:contextualSpacing/>
        <w:rPr>
          <w:rFonts w:ascii="黑体" w:hAnsi="黑体" w:eastAsia="黑体" w:cs="宋体"/>
          <w:kern w:val="0"/>
          <w:sz w:val="24"/>
          <w:szCs w:val="24"/>
        </w:rPr>
      </w:pPr>
      <w:r>
        <w:rPr>
          <w:rFonts w:hint="eastAsia" w:ascii="黑体" w:hAnsi="黑体" w:eastAsia="黑体" w:cs="宋体"/>
          <w:kern w:val="0"/>
          <w:sz w:val="24"/>
          <w:szCs w:val="24"/>
        </w:rPr>
        <w:t>1.项目申报启用在线申报方式，即各单位通过线上平台填写并上传申报材料。</w:t>
      </w:r>
    </w:p>
    <w:p w14:paraId="20753461">
      <w:pPr>
        <w:widowControl/>
        <w:shd w:val="clear" w:color="auto" w:fill="FFFFFF"/>
        <w:adjustRightInd w:val="0"/>
        <w:snapToGrid w:val="0"/>
        <w:spacing w:before="156" w:beforeLines="50" w:line="240" w:lineRule="atLeast"/>
        <w:ind w:firstLine="480" w:firstLineChars="200"/>
        <w:contextualSpacing/>
        <w:rPr>
          <w:rFonts w:ascii="黑体" w:hAnsi="黑体" w:eastAsia="黑体" w:cs="宋体"/>
          <w:kern w:val="0"/>
          <w:sz w:val="24"/>
          <w:szCs w:val="24"/>
        </w:rPr>
      </w:pPr>
      <w:r>
        <w:rPr>
          <w:rFonts w:hint="eastAsia" w:ascii="黑体" w:hAnsi="黑体" w:eastAsia="黑体" w:cs="宋体"/>
          <w:kern w:val="0"/>
          <w:sz w:val="24"/>
          <w:szCs w:val="24"/>
        </w:rPr>
        <w:t>2</w:t>
      </w:r>
      <w:r>
        <w:rPr>
          <w:rFonts w:ascii="黑体" w:hAnsi="黑体" w:eastAsia="黑体" w:cs="宋体"/>
          <w:kern w:val="0"/>
          <w:sz w:val="24"/>
          <w:szCs w:val="24"/>
        </w:rPr>
        <w:t>.</w:t>
      </w:r>
      <w:r>
        <w:rPr>
          <w:rFonts w:hint="eastAsia" w:ascii="黑体" w:hAnsi="黑体" w:eastAsia="黑体" w:cs="宋体"/>
          <w:kern w:val="0"/>
          <w:sz w:val="24"/>
          <w:szCs w:val="24"/>
        </w:rPr>
        <w:t>相关学院作为申报个体申报，完成网上注册及材料上传工作；各单位负责国家公派留学的部门（如国际处、人事处、研究生院等）作为受理单位，使用受理单位账号登录网站，审核已上传的材料并提交单位推荐公函后推送至国家留学基金委。</w:t>
      </w:r>
      <w:bookmarkStart w:id="0" w:name="_Hlk187240611"/>
      <w:r>
        <w:rPr>
          <w:rFonts w:hint="eastAsia" w:ascii="黑体" w:hAnsi="黑体" w:eastAsia="黑体" w:cs="宋体"/>
          <w:b/>
          <w:kern w:val="0"/>
          <w:sz w:val="24"/>
          <w:szCs w:val="24"/>
        </w:rPr>
        <w:t>在线申报时间为</w:t>
      </w:r>
      <w:bookmarkEnd w:id="0"/>
      <w:r>
        <w:rPr>
          <w:rFonts w:hint="eastAsia" w:ascii="黑体" w:hAnsi="黑体" w:eastAsia="黑体" w:cs="宋体"/>
          <w:b/>
          <w:kern w:val="0"/>
          <w:sz w:val="24"/>
          <w:szCs w:val="24"/>
        </w:rPr>
        <w:t>202</w:t>
      </w:r>
      <w:r>
        <w:rPr>
          <w:rFonts w:ascii="黑体" w:hAnsi="黑体" w:eastAsia="黑体" w:cs="宋体"/>
          <w:b/>
          <w:kern w:val="0"/>
          <w:sz w:val="24"/>
          <w:szCs w:val="24"/>
        </w:rPr>
        <w:t>5</w:t>
      </w:r>
      <w:r>
        <w:rPr>
          <w:rFonts w:hint="eastAsia" w:ascii="黑体" w:hAnsi="黑体" w:eastAsia="黑体" w:cs="宋体"/>
          <w:b/>
          <w:kern w:val="0"/>
          <w:sz w:val="24"/>
          <w:szCs w:val="24"/>
        </w:rPr>
        <w:t>年</w:t>
      </w:r>
      <w:r>
        <w:rPr>
          <w:rFonts w:ascii="黑体" w:hAnsi="黑体" w:eastAsia="黑体" w:cs="宋体"/>
          <w:b/>
          <w:kern w:val="0"/>
          <w:sz w:val="24"/>
          <w:szCs w:val="24"/>
        </w:rPr>
        <w:t>10</w:t>
      </w:r>
      <w:r>
        <w:rPr>
          <w:rFonts w:hint="eastAsia" w:ascii="黑体" w:hAnsi="黑体" w:eastAsia="黑体" w:cs="宋体"/>
          <w:b/>
          <w:kern w:val="0"/>
          <w:sz w:val="24"/>
          <w:szCs w:val="24"/>
        </w:rPr>
        <w:t>月1日</w:t>
      </w:r>
      <w:r>
        <w:rPr>
          <w:rFonts w:ascii="黑体" w:hAnsi="黑体" w:eastAsia="黑体" w:cs="宋体"/>
          <w:b/>
          <w:kern w:val="0"/>
          <w:sz w:val="24"/>
          <w:szCs w:val="24"/>
        </w:rPr>
        <w:t>0</w:t>
      </w:r>
      <w:r>
        <w:rPr>
          <w:rFonts w:hint="eastAsia" w:ascii="黑体" w:hAnsi="黑体" w:eastAsia="黑体" w:cs="宋体"/>
          <w:b/>
          <w:kern w:val="0"/>
          <w:sz w:val="24"/>
          <w:szCs w:val="24"/>
        </w:rPr>
        <w:t>时</w:t>
      </w:r>
      <w:r>
        <w:rPr>
          <w:rFonts w:ascii="黑体" w:hAnsi="黑体" w:eastAsia="黑体" w:cs="宋体"/>
          <w:b/>
          <w:kern w:val="0"/>
          <w:sz w:val="24"/>
          <w:szCs w:val="24"/>
        </w:rPr>
        <w:t>-21</w:t>
      </w:r>
      <w:r>
        <w:rPr>
          <w:rFonts w:hint="eastAsia" w:ascii="黑体" w:hAnsi="黑体" w:eastAsia="黑体" w:cs="宋体"/>
          <w:b/>
          <w:kern w:val="0"/>
          <w:sz w:val="24"/>
          <w:szCs w:val="24"/>
        </w:rPr>
        <w:t>日1</w:t>
      </w:r>
      <w:r>
        <w:rPr>
          <w:rFonts w:ascii="黑体" w:hAnsi="黑体" w:eastAsia="黑体" w:cs="宋体"/>
          <w:b/>
          <w:kern w:val="0"/>
          <w:sz w:val="24"/>
          <w:szCs w:val="24"/>
        </w:rPr>
        <w:t>4</w:t>
      </w:r>
      <w:r>
        <w:rPr>
          <w:rFonts w:hint="eastAsia" w:ascii="黑体" w:hAnsi="黑体" w:eastAsia="黑体" w:cs="宋体"/>
          <w:b/>
          <w:kern w:val="0"/>
          <w:sz w:val="24"/>
          <w:szCs w:val="24"/>
        </w:rPr>
        <w:t>时，</w:t>
      </w:r>
      <w:r>
        <w:rPr>
          <w:rFonts w:hint="eastAsia" w:ascii="黑体" w:hAnsi="黑体" w:eastAsia="黑体" w:cs="宋体"/>
          <w:kern w:val="0"/>
          <w:sz w:val="24"/>
          <w:szCs w:val="24"/>
        </w:rPr>
        <w:t>需要注意的是1</w:t>
      </w:r>
      <w:r>
        <w:rPr>
          <w:rFonts w:ascii="黑体" w:hAnsi="黑体" w:eastAsia="黑体" w:cs="宋体"/>
          <w:kern w:val="0"/>
          <w:sz w:val="24"/>
          <w:szCs w:val="24"/>
        </w:rPr>
        <w:t>0</w:t>
      </w:r>
      <w:r>
        <w:rPr>
          <w:rFonts w:hint="eastAsia" w:ascii="黑体" w:hAnsi="黑体" w:eastAsia="黑体" w:cs="宋体"/>
          <w:kern w:val="0"/>
          <w:sz w:val="24"/>
          <w:szCs w:val="24"/>
        </w:rPr>
        <w:t>月2</w:t>
      </w:r>
      <w:r>
        <w:rPr>
          <w:rFonts w:ascii="黑体" w:hAnsi="黑体" w:eastAsia="黑体" w:cs="宋体"/>
          <w:kern w:val="0"/>
          <w:sz w:val="24"/>
          <w:szCs w:val="24"/>
        </w:rPr>
        <w:t>1</w:t>
      </w:r>
      <w:r>
        <w:rPr>
          <w:rFonts w:hint="eastAsia" w:ascii="黑体" w:hAnsi="黑体" w:eastAsia="黑体" w:cs="宋体"/>
          <w:kern w:val="0"/>
          <w:sz w:val="24"/>
          <w:szCs w:val="24"/>
        </w:rPr>
        <w:t>日1</w:t>
      </w:r>
      <w:r>
        <w:rPr>
          <w:rFonts w:ascii="黑体" w:hAnsi="黑体" w:eastAsia="黑体" w:cs="宋体"/>
          <w:kern w:val="0"/>
          <w:sz w:val="24"/>
          <w:szCs w:val="24"/>
        </w:rPr>
        <w:t>4</w:t>
      </w:r>
      <w:r>
        <w:rPr>
          <w:rFonts w:hint="eastAsia" w:ascii="黑体" w:hAnsi="黑体" w:eastAsia="黑体" w:cs="宋体"/>
          <w:kern w:val="0"/>
          <w:sz w:val="24"/>
          <w:szCs w:val="24"/>
        </w:rPr>
        <w:t>时是单位主管部门的提交截止日期，而非项目负责人。</w:t>
      </w:r>
    </w:p>
    <w:p w14:paraId="71927611">
      <w:pPr>
        <w:widowControl/>
        <w:shd w:val="clear" w:color="auto" w:fill="FFFFFF"/>
        <w:adjustRightInd w:val="0"/>
        <w:snapToGrid w:val="0"/>
        <w:spacing w:before="156" w:beforeLines="50" w:line="240" w:lineRule="atLeast"/>
        <w:ind w:firstLine="480" w:firstLineChars="200"/>
        <w:contextualSpacing/>
        <w:rPr>
          <w:rFonts w:ascii="黑体" w:hAnsi="黑体" w:eastAsia="黑体" w:cs="宋体"/>
          <w:kern w:val="0"/>
          <w:sz w:val="24"/>
          <w:szCs w:val="24"/>
        </w:rPr>
      </w:pPr>
      <w:r>
        <w:rPr>
          <w:rFonts w:hint="eastAsia" w:ascii="黑体" w:hAnsi="黑体" w:eastAsia="黑体" w:cs="宋体"/>
          <w:kern w:val="0"/>
          <w:sz w:val="24"/>
          <w:szCs w:val="24"/>
        </w:rPr>
        <w:t>如单位尚无受理单位权限，或单位已是受理单位但尚无“国别和区域研究人才支持计划”的项目管理权限（单位可自行登录国家公派留学管理信息平台查询），请务必在</w:t>
      </w:r>
      <w:r>
        <w:rPr>
          <w:rFonts w:hint="eastAsia" w:ascii="黑体" w:hAnsi="黑体" w:eastAsia="黑体" w:cs="宋体"/>
          <w:b/>
          <w:kern w:val="0"/>
          <w:sz w:val="24"/>
          <w:szCs w:val="24"/>
        </w:rPr>
        <w:t>202</w:t>
      </w:r>
      <w:r>
        <w:rPr>
          <w:rFonts w:ascii="黑体" w:hAnsi="黑体" w:eastAsia="黑体" w:cs="宋体"/>
          <w:b/>
          <w:kern w:val="0"/>
          <w:sz w:val="24"/>
          <w:szCs w:val="24"/>
        </w:rPr>
        <w:t>5</w:t>
      </w:r>
      <w:r>
        <w:rPr>
          <w:rFonts w:hint="eastAsia" w:ascii="黑体" w:hAnsi="黑体" w:eastAsia="黑体" w:cs="宋体"/>
          <w:b/>
          <w:kern w:val="0"/>
          <w:sz w:val="24"/>
          <w:szCs w:val="24"/>
        </w:rPr>
        <w:t>年9月</w:t>
      </w:r>
      <w:r>
        <w:rPr>
          <w:rFonts w:ascii="黑体" w:hAnsi="黑体" w:eastAsia="黑体" w:cs="宋体"/>
          <w:b/>
          <w:kern w:val="0"/>
          <w:sz w:val="24"/>
          <w:szCs w:val="24"/>
        </w:rPr>
        <w:t>20</w:t>
      </w:r>
      <w:r>
        <w:rPr>
          <w:rFonts w:hint="eastAsia" w:ascii="黑体" w:hAnsi="黑体" w:eastAsia="黑体" w:cs="宋体"/>
          <w:b/>
          <w:kern w:val="0"/>
          <w:sz w:val="24"/>
          <w:szCs w:val="24"/>
        </w:rPr>
        <w:t>日前</w:t>
      </w:r>
      <w:r>
        <w:rPr>
          <w:rFonts w:hint="eastAsia" w:ascii="黑体" w:hAnsi="黑体" w:eastAsia="黑体" w:cs="宋体"/>
          <w:kern w:val="0"/>
          <w:sz w:val="24"/>
          <w:szCs w:val="24"/>
        </w:rPr>
        <w:t>将《申请受理单位“项目管理”权限信息表》</w:t>
      </w:r>
      <w:r>
        <w:fldChar w:fldCharType="begin"/>
      </w:r>
      <w:r>
        <w:instrText xml:space="preserve"> HYPERLINK "mailto:发至ouyafei7@csc.edu.cn" </w:instrText>
      </w:r>
      <w:r>
        <w:fldChar w:fldCharType="separate"/>
      </w:r>
      <w:r>
        <w:rPr>
          <w:rFonts w:hint="eastAsia" w:ascii="黑体" w:hAnsi="黑体" w:eastAsia="黑体" w:cs="宋体"/>
          <w:kern w:val="0"/>
          <w:sz w:val="24"/>
          <w:szCs w:val="24"/>
        </w:rPr>
        <w:t>发至ouyafei7@csc.edu.cn</w:t>
      </w:r>
      <w:r>
        <w:rPr>
          <w:rFonts w:hint="eastAsia" w:ascii="黑体" w:hAnsi="黑体" w:eastAsia="黑体" w:cs="宋体"/>
          <w:kern w:val="0"/>
          <w:sz w:val="24"/>
          <w:szCs w:val="24"/>
        </w:rPr>
        <w:fldChar w:fldCharType="end"/>
      </w:r>
      <w:r>
        <w:rPr>
          <w:rFonts w:hint="eastAsia" w:ascii="黑体" w:hAnsi="黑体" w:eastAsia="黑体" w:cs="宋体"/>
          <w:kern w:val="0"/>
          <w:sz w:val="24"/>
          <w:szCs w:val="24"/>
        </w:rPr>
        <w:t>。</w:t>
      </w:r>
    </w:p>
    <w:p w14:paraId="74D7D5C1">
      <w:pPr>
        <w:widowControl/>
        <w:shd w:val="clear" w:color="auto" w:fill="FFFFFF"/>
        <w:adjustRightInd w:val="0"/>
        <w:snapToGrid w:val="0"/>
        <w:spacing w:before="156" w:beforeLines="50" w:line="240" w:lineRule="atLeast"/>
        <w:ind w:firstLine="482" w:firstLineChars="200"/>
        <w:contextualSpacing/>
        <w:rPr>
          <w:rFonts w:ascii="黑体" w:hAnsi="黑体" w:eastAsia="黑体" w:cs="宋体"/>
          <w:kern w:val="0"/>
          <w:sz w:val="24"/>
          <w:szCs w:val="24"/>
        </w:rPr>
      </w:pPr>
      <w:r>
        <w:rPr>
          <w:rFonts w:hint="eastAsia" w:ascii="黑体" w:hAnsi="黑体" w:eastAsia="黑体" w:cs="宋体"/>
          <w:b/>
          <w:kern w:val="0"/>
          <w:sz w:val="24"/>
          <w:szCs w:val="24"/>
        </w:rPr>
        <w:t xml:space="preserve">第十条 </w:t>
      </w:r>
      <w:r>
        <w:rPr>
          <w:rFonts w:hint="eastAsia" w:ascii="黑体" w:hAnsi="黑体" w:eastAsia="黑体" w:cs="宋体"/>
          <w:kern w:val="0"/>
          <w:sz w:val="24"/>
          <w:szCs w:val="24"/>
        </w:rPr>
        <w:t>重点资助国别和区域研究各相关专业，既支持针对同一对象国或地区不同学科领域之间协调合作的研究，也支持针对同一学科背景但在不同对象国或地区之间协调合作的研究。</w:t>
      </w:r>
    </w:p>
    <w:p w14:paraId="32DFC71D">
      <w:pPr>
        <w:widowControl/>
        <w:shd w:val="clear" w:color="auto" w:fill="FFFFFF"/>
        <w:adjustRightInd w:val="0"/>
        <w:snapToGrid w:val="0"/>
        <w:spacing w:before="156" w:beforeLines="50" w:line="240" w:lineRule="atLeast"/>
        <w:ind w:firstLine="482" w:firstLineChars="200"/>
        <w:contextualSpacing/>
        <w:rPr>
          <w:rFonts w:ascii="黑体" w:hAnsi="黑体" w:eastAsia="黑体" w:cs="宋体"/>
          <w:kern w:val="0"/>
          <w:sz w:val="24"/>
          <w:szCs w:val="24"/>
        </w:rPr>
      </w:pPr>
      <w:r>
        <w:rPr>
          <w:rFonts w:ascii="黑体" w:hAnsi="黑体" w:eastAsia="黑体" w:cs="宋体"/>
          <w:b/>
          <w:kern w:val="0"/>
          <w:sz w:val="24"/>
          <w:szCs w:val="24"/>
        </w:rPr>
        <w:t>第十</w:t>
      </w:r>
      <w:r>
        <w:rPr>
          <w:rFonts w:hint="eastAsia" w:ascii="黑体" w:hAnsi="黑体" w:eastAsia="黑体" w:cs="宋体"/>
          <w:b/>
          <w:kern w:val="0"/>
          <w:sz w:val="24"/>
          <w:szCs w:val="24"/>
        </w:rPr>
        <w:t>一</w:t>
      </w:r>
      <w:r>
        <w:rPr>
          <w:rFonts w:ascii="黑体" w:hAnsi="黑体" w:eastAsia="黑体" w:cs="宋体"/>
          <w:b/>
          <w:kern w:val="0"/>
          <w:sz w:val="24"/>
          <w:szCs w:val="24"/>
        </w:rPr>
        <w:t>条</w:t>
      </w:r>
      <w:r>
        <w:rPr>
          <w:rFonts w:ascii="Calibri" w:hAnsi="Calibri" w:eastAsia="黑体" w:cs="Calibri"/>
          <w:b/>
          <w:kern w:val="0"/>
          <w:sz w:val="24"/>
          <w:szCs w:val="24"/>
        </w:rPr>
        <w:t> </w:t>
      </w:r>
      <w:r>
        <w:rPr>
          <w:rFonts w:ascii="Calibri" w:hAnsi="Calibri" w:eastAsia="黑体" w:cs="Calibri"/>
          <w:kern w:val="0"/>
          <w:sz w:val="24"/>
          <w:szCs w:val="24"/>
        </w:rPr>
        <w:t> </w:t>
      </w:r>
      <w:r>
        <w:rPr>
          <w:rFonts w:ascii="黑体" w:hAnsi="黑体" w:eastAsia="黑体" w:cs="宋体"/>
          <w:kern w:val="0"/>
          <w:sz w:val="24"/>
          <w:szCs w:val="24"/>
        </w:rPr>
        <w:t>申报项目合作双方应有与所申报项目直接相关的前期合作与交流基础，原则上应签有尚在有效期内的合作协议</w:t>
      </w:r>
      <w:r>
        <w:rPr>
          <w:rFonts w:hint="eastAsia" w:ascii="黑体" w:hAnsi="黑体" w:eastAsia="黑体" w:cs="宋体"/>
          <w:kern w:val="0"/>
          <w:sz w:val="24"/>
          <w:szCs w:val="24"/>
        </w:rPr>
        <w:t>，每个申报立项项目的外方合作单位至多不超过5个。</w:t>
      </w:r>
    </w:p>
    <w:p w14:paraId="7A81FE77">
      <w:pPr>
        <w:widowControl/>
        <w:shd w:val="clear" w:color="auto" w:fill="FFFFFF"/>
        <w:adjustRightInd w:val="0"/>
        <w:snapToGrid w:val="0"/>
        <w:spacing w:before="156" w:beforeLines="50" w:line="240" w:lineRule="atLeast"/>
        <w:ind w:firstLine="482" w:firstLineChars="200"/>
        <w:contextualSpacing/>
        <w:rPr>
          <w:rFonts w:ascii="黑体" w:hAnsi="黑体" w:eastAsia="黑体" w:cs="宋体"/>
          <w:kern w:val="0"/>
          <w:sz w:val="24"/>
          <w:szCs w:val="24"/>
        </w:rPr>
      </w:pPr>
      <w:r>
        <w:rPr>
          <w:rFonts w:ascii="黑体" w:hAnsi="黑体" w:eastAsia="黑体" w:cs="宋体"/>
          <w:b/>
          <w:kern w:val="0"/>
          <w:sz w:val="24"/>
          <w:szCs w:val="24"/>
        </w:rPr>
        <w:t>第十</w:t>
      </w:r>
      <w:r>
        <w:rPr>
          <w:rFonts w:hint="eastAsia" w:ascii="黑体" w:hAnsi="黑体" w:eastAsia="黑体" w:cs="宋体"/>
          <w:b/>
          <w:kern w:val="0"/>
          <w:sz w:val="24"/>
          <w:szCs w:val="24"/>
        </w:rPr>
        <w:t>二</w:t>
      </w:r>
      <w:r>
        <w:rPr>
          <w:rFonts w:ascii="黑体" w:hAnsi="黑体" w:eastAsia="黑体" w:cs="宋体"/>
          <w:b/>
          <w:kern w:val="0"/>
          <w:sz w:val="24"/>
          <w:szCs w:val="24"/>
        </w:rPr>
        <w:t>条</w:t>
      </w:r>
      <w:r>
        <w:rPr>
          <w:rFonts w:ascii="Helvetica" w:hAnsi="Helvetica" w:cs="Helvetica"/>
          <w:b/>
          <w:bCs/>
          <w:color w:val="000000"/>
        </w:rPr>
        <w:t> </w:t>
      </w:r>
      <w:r>
        <w:rPr>
          <w:rFonts w:ascii="黑体" w:hAnsi="黑体" w:eastAsia="黑体" w:cs="宋体"/>
          <w:kern w:val="0"/>
          <w:sz w:val="24"/>
          <w:szCs w:val="24"/>
        </w:rPr>
        <w:t>国家留学基金委组织专家对申报项目进行评审，并于2025年12月底前公布获批项目。</w:t>
      </w:r>
    </w:p>
    <w:p w14:paraId="5BED8B7E">
      <w:pPr>
        <w:widowControl/>
        <w:shd w:val="clear" w:color="auto" w:fill="FFFFFF"/>
        <w:adjustRightInd w:val="0"/>
        <w:snapToGrid w:val="0"/>
        <w:spacing w:before="156" w:beforeLines="50" w:line="240" w:lineRule="atLeast"/>
        <w:ind w:firstLine="480" w:firstLineChars="200"/>
        <w:contextualSpacing/>
        <w:rPr>
          <w:rFonts w:ascii="黑体" w:hAnsi="黑体" w:eastAsia="黑体" w:cs="宋体"/>
          <w:kern w:val="0"/>
          <w:sz w:val="24"/>
          <w:szCs w:val="24"/>
        </w:rPr>
      </w:pPr>
    </w:p>
    <w:p w14:paraId="6B1DDB52">
      <w:pPr>
        <w:widowControl/>
        <w:shd w:val="clear" w:color="auto" w:fill="FFFFFF"/>
        <w:adjustRightInd w:val="0"/>
        <w:snapToGrid w:val="0"/>
        <w:spacing w:before="156" w:beforeLines="50" w:line="240" w:lineRule="atLeast"/>
        <w:contextualSpacing/>
        <w:jc w:val="center"/>
        <w:rPr>
          <w:rFonts w:ascii="黑体" w:hAnsi="黑体" w:eastAsia="黑体" w:cs="宋体"/>
          <w:b/>
          <w:bCs/>
          <w:kern w:val="0"/>
          <w:sz w:val="28"/>
          <w:szCs w:val="28"/>
        </w:rPr>
      </w:pPr>
      <w:r>
        <w:rPr>
          <w:rFonts w:ascii="黑体" w:hAnsi="黑体" w:eastAsia="黑体" w:cs="宋体"/>
          <w:b/>
          <w:bCs/>
          <w:kern w:val="0"/>
          <w:sz w:val="28"/>
          <w:szCs w:val="28"/>
        </w:rPr>
        <w:t>第</w:t>
      </w:r>
      <w:r>
        <w:rPr>
          <w:rFonts w:hint="eastAsia" w:ascii="黑体" w:hAnsi="黑体" w:eastAsia="黑体" w:cs="宋体"/>
          <w:b/>
          <w:bCs/>
          <w:kern w:val="0"/>
          <w:sz w:val="28"/>
          <w:szCs w:val="28"/>
        </w:rPr>
        <w:t>三</w:t>
      </w:r>
      <w:r>
        <w:rPr>
          <w:rFonts w:ascii="黑体" w:hAnsi="黑体" w:eastAsia="黑体" w:cs="宋体"/>
          <w:b/>
          <w:bCs/>
          <w:kern w:val="0"/>
          <w:sz w:val="28"/>
          <w:szCs w:val="28"/>
        </w:rPr>
        <w:t>章</w:t>
      </w:r>
      <w:r>
        <w:rPr>
          <w:rFonts w:hint="eastAsia" w:ascii="黑体" w:hAnsi="黑体" w:eastAsia="黑体" w:cs="宋体"/>
          <w:b/>
          <w:bCs/>
          <w:kern w:val="0"/>
          <w:sz w:val="28"/>
          <w:szCs w:val="28"/>
        </w:rPr>
        <w:t xml:space="preserve"> </w:t>
      </w:r>
      <w:r>
        <w:rPr>
          <w:rFonts w:ascii="黑体" w:hAnsi="黑体" w:eastAsia="黑体" w:cs="宋体"/>
          <w:b/>
          <w:bCs/>
          <w:kern w:val="0"/>
          <w:sz w:val="28"/>
          <w:szCs w:val="28"/>
        </w:rPr>
        <w:t xml:space="preserve"> </w:t>
      </w:r>
      <w:r>
        <w:rPr>
          <w:rFonts w:hint="eastAsia" w:ascii="黑体" w:hAnsi="黑体" w:eastAsia="黑体" w:cs="宋体"/>
          <w:b/>
          <w:bCs/>
          <w:kern w:val="0"/>
          <w:sz w:val="28"/>
          <w:szCs w:val="28"/>
        </w:rPr>
        <w:t>项目实施和管理</w:t>
      </w:r>
    </w:p>
    <w:p w14:paraId="150A3F9C">
      <w:pPr>
        <w:widowControl/>
        <w:shd w:val="clear" w:color="auto" w:fill="FFFFFF"/>
        <w:adjustRightInd w:val="0"/>
        <w:snapToGrid w:val="0"/>
        <w:spacing w:before="156" w:beforeLines="50" w:line="240" w:lineRule="atLeast"/>
        <w:ind w:firstLine="482" w:firstLineChars="200"/>
        <w:contextualSpacing/>
        <w:rPr>
          <w:rFonts w:ascii="黑体" w:hAnsi="黑体" w:eastAsia="黑体" w:cs="宋体"/>
          <w:kern w:val="0"/>
          <w:sz w:val="24"/>
          <w:szCs w:val="24"/>
        </w:rPr>
      </w:pPr>
      <w:r>
        <w:rPr>
          <w:rFonts w:ascii="黑体" w:hAnsi="黑体" w:eastAsia="黑体" w:cs="宋体"/>
          <w:b/>
          <w:kern w:val="0"/>
          <w:sz w:val="24"/>
          <w:szCs w:val="24"/>
        </w:rPr>
        <w:t>第</w:t>
      </w:r>
      <w:r>
        <w:rPr>
          <w:rFonts w:hint="eastAsia" w:ascii="黑体" w:hAnsi="黑体" w:eastAsia="黑体" w:cs="宋体"/>
          <w:b/>
          <w:kern w:val="0"/>
          <w:sz w:val="24"/>
          <w:szCs w:val="24"/>
        </w:rPr>
        <w:t>十三</w:t>
      </w:r>
      <w:r>
        <w:rPr>
          <w:rFonts w:ascii="黑体" w:hAnsi="黑体" w:eastAsia="黑体" w:cs="宋体"/>
          <w:b/>
          <w:kern w:val="0"/>
          <w:sz w:val="24"/>
          <w:szCs w:val="24"/>
        </w:rPr>
        <w:t>条</w:t>
      </w:r>
      <w:r>
        <w:rPr>
          <w:rFonts w:hint="eastAsia" w:ascii="黑体" w:hAnsi="黑体" w:eastAsia="黑体" w:cs="宋体"/>
          <w:b/>
          <w:kern w:val="0"/>
          <w:sz w:val="24"/>
          <w:szCs w:val="24"/>
        </w:rPr>
        <w:t xml:space="preserve"> </w:t>
      </w:r>
      <w:r>
        <w:rPr>
          <w:rFonts w:ascii="黑体" w:hAnsi="黑体" w:eastAsia="黑体" w:cs="宋体"/>
          <w:kern w:val="0"/>
          <w:sz w:val="24"/>
          <w:szCs w:val="24"/>
        </w:rPr>
        <w:t>获批项目执行期为三年，</w:t>
      </w:r>
      <w:r>
        <w:rPr>
          <w:rFonts w:hint="eastAsia" w:ascii="黑体" w:hAnsi="黑体" w:eastAsia="黑体" w:cs="宋体"/>
          <w:kern w:val="0"/>
          <w:sz w:val="24"/>
          <w:szCs w:val="24"/>
        </w:rPr>
        <w:t>由项目单位承担获批项目执行、人员选派及管理工作的主体责任。</w:t>
      </w:r>
    </w:p>
    <w:p w14:paraId="629D05AF">
      <w:pPr>
        <w:widowControl/>
        <w:shd w:val="clear" w:color="auto" w:fill="FFFFFF"/>
        <w:adjustRightInd w:val="0"/>
        <w:snapToGrid w:val="0"/>
        <w:spacing w:before="156" w:beforeLines="50" w:line="240" w:lineRule="atLeast"/>
        <w:ind w:firstLine="482" w:firstLineChars="200"/>
        <w:contextualSpacing/>
        <w:rPr>
          <w:rFonts w:ascii="黑体" w:hAnsi="黑体" w:eastAsia="黑体" w:cs="宋体"/>
          <w:kern w:val="0"/>
          <w:sz w:val="24"/>
          <w:szCs w:val="24"/>
        </w:rPr>
      </w:pPr>
      <w:r>
        <w:rPr>
          <w:rFonts w:ascii="黑体" w:hAnsi="黑体" w:eastAsia="黑体" w:cs="宋体"/>
          <w:b/>
          <w:kern w:val="0"/>
          <w:sz w:val="24"/>
          <w:szCs w:val="24"/>
        </w:rPr>
        <w:t>第</w:t>
      </w:r>
      <w:r>
        <w:rPr>
          <w:rFonts w:hint="eastAsia" w:ascii="黑体" w:hAnsi="黑体" w:eastAsia="黑体" w:cs="宋体"/>
          <w:b/>
          <w:kern w:val="0"/>
          <w:sz w:val="24"/>
          <w:szCs w:val="24"/>
        </w:rPr>
        <w:t>十四</w:t>
      </w:r>
      <w:r>
        <w:rPr>
          <w:rFonts w:ascii="黑体" w:hAnsi="黑体" w:eastAsia="黑体" w:cs="宋体"/>
          <w:b/>
          <w:kern w:val="0"/>
          <w:sz w:val="24"/>
          <w:szCs w:val="24"/>
        </w:rPr>
        <w:t>条</w:t>
      </w:r>
      <w:r>
        <w:rPr>
          <w:rFonts w:ascii="Calibri" w:hAnsi="Calibri" w:eastAsia="黑体" w:cs="Calibri"/>
          <w:kern w:val="0"/>
          <w:sz w:val="24"/>
          <w:szCs w:val="24"/>
        </w:rPr>
        <w:t> </w:t>
      </w:r>
      <w:r>
        <w:rPr>
          <w:rFonts w:ascii="黑体" w:hAnsi="黑体" w:eastAsia="黑体" w:cs="宋体"/>
          <w:kern w:val="0"/>
          <w:sz w:val="24"/>
          <w:szCs w:val="24"/>
        </w:rPr>
        <w:t>项目单位在收到国家留学基金委立项通知后，应制定项目执行和管理办法。</w:t>
      </w:r>
    </w:p>
    <w:p w14:paraId="2CE9C4DF">
      <w:pPr>
        <w:widowControl/>
        <w:shd w:val="clear" w:color="auto" w:fill="FFFFFF"/>
        <w:adjustRightInd w:val="0"/>
        <w:snapToGrid w:val="0"/>
        <w:spacing w:before="156" w:beforeLines="50" w:line="240" w:lineRule="atLeast"/>
        <w:ind w:firstLine="482" w:firstLineChars="200"/>
        <w:contextualSpacing/>
        <w:rPr>
          <w:rFonts w:ascii="黑体" w:hAnsi="黑体" w:eastAsia="黑体" w:cs="宋体"/>
          <w:kern w:val="0"/>
          <w:sz w:val="24"/>
          <w:szCs w:val="24"/>
        </w:rPr>
      </w:pPr>
      <w:r>
        <w:rPr>
          <w:rFonts w:hint="eastAsia" w:ascii="黑体" w:hAnsi="黑体" w:eastAsia="黑体" w:cs="宋体"/>
          <w:b/>
          <w:kern w:val="0"/>
          <w:sz w:val="24"/>
          <w:szCs w:val="24"/>
        </w:rPr>
        <w:t xml:space="preserve">第十五条 </w:t>
      </w:r>
      <w:r>
        <w:rPr>
          <w:rFonts w:hint="eastAsia" w:ascii="黑体" w:hAnsi="黑体" w:eastAsia="黑体" w:cs="宋体"/>
          <w:kern w:val="0"/>
          <w:sz w:val="24"/>
          <w:szCs w:val="24"/>
        </w:rPr>
        <w:t>执行期内的项目应严格按照获批结果实施，不得任意调整选派计划（如留学单位、选派规模等）。如因特殊情况确需调整，单位须按照新项目的要求重新申报并在公函中予以说明。此项目同样需参加专家评审，如新项目获批，原有项目将立即终止。</w:t>
      </w:r>
    </w:p>
    <w:p w14:paraId="3BA5B6E8">
      <w:pPr>
        <w:widowControl/>
        <w:shd w:val="clear" w:color="auto" w:fill="FFFFFF"/>
        <w:adjustRightInd w:val="0"/>
        <w:snapToGrid w:val="0"/>
        <w:spacing w:before="156" w:beforeLines="50" w:line="240" w:lineRule="atLeast"/>
        <w:ind w:firstLine="482" w:firstLineChars="200"/>
        <w:contextualSpacing/>
        <w:rPr>
          <w:rFonts w:ascii="黑体" w:hAnsi="黑体" w:eastAsia="黑体" w:cs="宋体"/>
          <w:kern w:val="0"/>
          <w:sz w:val="24"/>
          <w:szCs w:val="24"/>
        </w:rPr>
      </w:pPr>
      <w:r>
        <w:rPr>
          <w:rFonts w:ascii="黑体" w:hAnsi="黑体" w:eastAsia="黑体" w:cs="宋体"/>
          <w:b/>
          <w:kern w:val="0"/>
          <w:sz w:val="24"/>
          <w:szCs w:val="24"/>
        </w:rPr>
        <w:t>第十</w:t>
      </w:r>
      <w:r>
        <w:rPr>
          <w:rFonts w:hint="eastAsia" w:ascii="黑体" w:hAnsi="黑体" w:eastAsia="黑体" w:cs="宋体"/>
          <w:b/>
          <w:kern w:val="0"/>
          <w:sz w:val="24"/>
          <w:szCs w:val="24"/>
        </w:rPr>
        <w:t>六</w:t>
      </w:r>
      <w:r>
        <w:rPr>
          <w:rFonts w:ascii="黑体" w:hAnsi="黑体" w:eastAsia="黑体" w:cs="宋体"/>
          <w:b/>
          <w:kern w:val="0"/>
          <w:sz w:val="24"/>
          <w:szCs w:val="24"/>
        </w:rPr>
        <w:t>条</w:t>
      </w:r>
      <w:r>
        <w:rPr>
          <w:rFonts w:ascii="Calibri" w:hAnsi="Calibri" w:eastAsia="黑体" w:cs="Calibri"/>
          <w:kern w:val="0"/>
          <w:sz w:val="24"/>
          <w:szCs w:val="24"/>
        </w:rPr>
        <w:t> </w:t>
      </w:r>
      <w:r>
        <w:rPr>
          <w:rFonts w:ascii="黑体" w:hAnsi="黑体" w:eastAsia="黑体" w:cs="宋体"/>
          <w:kern w:val="0"/>
          <w:sz w:val="24"/>
          <w:szCs w:val="24"/>
        </w:rPr>
        <w:t>国家留学基金委将对执行中项目执行情况进行督导。项目单位须对执行中项目逐一进行年度总结，并于每年项目申报时（</w:t>
      </w:r>
      <w:r>
        <w:rPr>
          <w:rFonts w:hint="eastAsia" w:ascii="黑体" w:hAnsi="黑体" w:eastAsia="黑体" w:cs="宋体"/>
          <w:kern w:val="0"/>
          <w:sz w:val="24"/>
          <w:szCs w:val="24"/>
        </w:rPr>
        <w:t>202</w:t>
      </w:r>
      <w:r>
        <w:rPr>
          <w:rFonts w:ascii="黑体" w:hAnsi="黑体" w:eastAsia="黑体" w:cs="宋体"/>
          <w:kern w:val="0"/>
          <w:sz w:val="24"/>
          <w:szCs w:val="24"/>
        </w:rPr>
        <w:t>5</w:t>
      </w:r>
      <w:r>
        <w:rPr>
          <w:rFonts w:hint="eastAsia" w:ascii="黑体" w:hAnsi="黑体" w:eastAsia="黑体" w:cs="宋体"/>
          <w:kern w:val="0"/>
          <w:sz w:val="24"/>
          <w:szCs w:val="24"/>
        </w:rPr>
        <w:t>年</w:t>
      </w:r>
      <w:r>
        <w:rPr>
          <w:rFonts w:ascii="黑体" w:hAnsi="黑体" w:eastAsia="黑体" w:cs="宋体"/>
          <w:kern w:val="0"/>
          <w:sz w:val="24"/>
          <w:szCs w:val="24"/>
        </w:rPr>
        <w:t>10</w:t>
      </w:r>
      <w:r>
        <w:rPr>
          <w:rFonts w:hint="eastAsia" w:ascii="黑体" w:hAnsi="黑体" w:eastAsia="黑体" w:cs="宋体"/>
          <w:kern w:val="0"/>
          <w:sz w:val="24"/>
          <w:szCs w:val="24"/>
        </w:rPr>
        <w:t>月1日</w:t>
      </w:r>
      <w:r>
        <w:rPr>
          <w:rFonts w:ascii="黑体" w:hAnsi="黑体" w:eastAsia="黑体" w:cs="宋体"/>
          <w:kern w:val="0"/>
          <w:sz w:val="24"/>
          <w:szCs w:val="24"/>
        </w:rPr>
        <w:t>0</w:t>
      </w:r>
      <w:r>
        <w:rPr>
          <w:rFonts w:hint="eastAsia" w:ascii="黑体" w:hAnsi="黑体" w:eastAsia="黑体" w:cs="宋体"/>
          <w:kern w:val="0"/>
          <w:sz w:val="24"/>
          <w:szCs w:val="24"/>
        </w:rPr>
        <w:t>时</w:t>
      </w:r>
      <w:r>
        <w:rPr>
          <w:rFonts w:ascii="黑体" w:hAnsi="黑体" w:eastAsia="黑体" w:cs="宋体"/>
          <w:kern w:val="0"/>
          <w:sz w:val="24"/>
          <w:szCs w:val="24"/>
        </w:rPr>
        <w:t>-21</w:t>
      </w:r>
      <w:r>
        <w:rPr>
          <w:rFonts w:hint="eastAsia" w:ascii="黑体" w:hAnsi="黑体" w:eastAsia="黑体" w:cs="宋体"/>
          <w:kern w:val="0"/>
          <w:sz w:val="24"/>
          <w:szCs w:val="24"/>
        </w:rPr>
        <w:t>日1</w:t>
      </w:r>
      <w:r>
        <w:rPr>
          <w:rFonts w:ascii="黑体" w:hAnsi="黑体" w:eastAsia="黑体" w:cs="宋体"/>
          <w:kern w:val="0"/>
          <w:sz w:val="24"/>
          <w:szCs w:val="24"/>
        </w:rPr>
        <w:t>4</w:t>
      </w:r>
      <w:r>
        <w:rPr>
          <w:rFonts w:hint="eastAsia" w:ascii="黑体" w:hAnsi="黑体" w:eastAsia="黑体" w:cs="宋体"/>
          <w:kern w:val="0"/>
          <w:sz w:val="24"/>
          <w:szCs w:val="24"/>
        </w:rPr>
        <w:t>时</w:t>
      </w:r>
      <w:r>
        <w:rPr>
          <w:rFonts w:ascii="黑体" w:hAnsi="黑体" w:eastAsia="黑体" w:cs="宋体"/>
          <w:kern w:val="0"/>
          <w:sz w:val="24"/>
          <w:szCs w:val="24"/>
        </w:rPr>
        <w:t>）通过国家公派留学管理信息平台（以下简称信息平台）将年度总结报告在线提交至国家留学基金委。</w:t>
      </w:r>
    </w:p>
    <w:p w14:paraId="32430624">
      <w:pPr>
        <w:widowControl/>
        <w:shd w:val="clear" w:color="auto" w:fill="FFFFFF"/>
        <w:adjustRightInd w:val="0"/>
        <w:snapToGrid w:val="0"/>
        <w:spacing w:before="156" w:beforeLines="50"/>
        <w:ind w:firstLine="480" w:firstLineChars="200"/>
        <w:contextualSpacing/>
        <w:rPr>
          <w:rFonts w:ascii="黑体" w:hAnsi="黑体" w:eastAsia="黑体" w:cs="宋体"/>
          <w:kern w:val="0"/>
          <w:sz w:val="24"/>
          <w:szCs w:val="24"/>
        </w:rPr>
      </w:pPr>
      <w:r>
        <w:rPr>
          <w:rFonts w:ascii="黑体" w:hAnsi="黑体" w:eastAsia="黑体" w:cs="宋体"/>
          <w:kern w:val="0"/>
          <w:sz w:val="24"/>
          <w:szCs w:val="24"/>
        </w:rPr>
        <w:t>年度总结</w:t>
      </w:r>
      <w:r>
        <w:rPr>
          <w:rFonts w:hint="eastAsia" w:ascii="黑体" w:hAnsi="黑体" w:eastAsia="黑体" w:cs="宋体"/>
          <w:kern w:val="0"/>
          <w:sz w:val="24"/>
          <w:szCs w:val="24"/>
        </w:rPr>
        <w:t>报告</w:t>
      </w:r>
      <w:r>
        <w:rPr>
          <w:rFonts w:ascii="黑体" w:hAnsi="黑体" w:eastAsia="黑体" w:cs="宋体"/>
          <w:kern w:val="0"/>
          <w:sz w:val="24"/>
          <w:szCs w:val="24"/>
        </w:rPr>
        <w:t>应包括项目年度申报、录取、派出情况、主要成果、典型事例、主要问题及改进措施等内容</w:t>
      </w:r>
      <w:r>
        <w:rPr>
          <w:rFonts w:hint="eastAsia" w:ascii="黑体" w:hAnsi="黑体" w:eastAsia="黑体" w:cs="宋体"/>
          <w:kern w:val="0"/>
          <w:sz w:val="24"/>
          <w:szCs w:val="24"/>
        </w:rPr>
        <w:t>。以上材料将由专家进行评估，确定下一年度是否继续资助。未能按时提交报告的项目将被暂停资助。</w:t>
      </w:r>
    </w:p>
    <w:p w14:paraId="044FB917">
      <w:pPr>
        <w:widowControl/>
        <w:shd w:val="clear" w:color="auto" w:fill="FFFFFF"/>
        <w:adjustRightInd w:val="0"/>
        <w:snapToGrid w:val="0"/>
        <w:spacing w:before="156" w:beforeLines="50" w:line="240" w:lineRule="atLeast"/>
        <w:ind w:firstLine="482" w:firstLineChars="200"/>
        <w:contextualSpacing/>
        <w:rPr>
          <w:rFonts w:ascii="黑体" w:hAnsi="黑体" w:eastAsia="黑体" w:cs="宋体"/>
          <w:kern w:val="0"/>
          <w:sz w:val="24"/>
          <w:szCs w:val="24"/>
        </w:rPr>
      </w:pPr>
      <w:r>
        <w:rPr>
          <w:rFonts w:hint="eastAsia" w:ascii="黑体" w:hAnsi="黑体" w:eastAsia="黑体" w:cs="宋体"/>
          <w:b/>
          <w:kern w:val="0"/>
          <w:sz w:val="24"/>
          <w:szCs w:val="24"/>
        </w:rPr>
        <w:t>第十七条</w:t>
      </w:r>
      <w:r>
        <w:rPr>
          <w:rFonts w:hint="eastAsia" w:ascii="黑体" w:hAnsi="黑体" w:eastAsia="黑体" w:cs="宋体"/>
          <w:kern w:val="0"/>
          <w:sz w:val="24"/>
          <w:szCs w:val="24"/>
        </w:rPr>
        <w:t xml:space="preserve"> 项目执行三年期满时，项目单位须对项目进行全面总结，并于每年项目申报时（202</w:t>
      </w:r>
      <w:r>
        <w:rPr>
          <w:rFonts w:ascii="黑体" w:hAnsi="黑体" w:eastAsia="黑体" w:cs="宋体"/>
          <w:kern w:val="0"/>
          <w:sz w:val="24"/>
          <w:szCs w:val="24"/>
        </w:rPr>
        <w:t>5</w:t>
      </w:r>
      <w:r>
        <w:rPr>
          <w:rFonts w:hint="eastAsia" w:ascii="黑体" w:hAnsi="黑体" w:eastAsia="黑体" w:cs="宋体"/>
          <w:kern w:val="0"/>
          <w:sz w:val="24"/>
          <w:szCs w:val="24"/>
        </w:rPr>
        <w:t>年</w:t>
      </w:r>
      <w:r>
        <w:rPr>
          <w:rFonts w:ascii="黑体" w:hAnsi="黑体" w:eastAsia="黑体" w:cs="宋体"/>
          <w:kern w:val="0"/>
          <w:sz w:val="24"/>
          <w:szCs w:val="24"/>
        </w:rPr>
        <w:t>10</w:t>
      </w:r>
      <w:r>
        <w:rPr>
          <w:rFonts w:hint="eastAsia" w:ascii="黑体" w:hAnsi="黑体" w:eastAsia="黑体" w:cs="宋体"/>
          <w:kern w:val="0"/>
          <w:sz w:val="24"/>
          <w:szCs w:val="24"/>
        </w:rPr>
        <w:t>月1日</w:t>
      </w:r>
      <w:r>
        <w:rPr>
          <w:rFonts w:ascii="黑体" w:hAnsi="黑体" w:eastAsia="黑体" w:cs="宋体"/>
          <w:kern w:val="0"/>
          <w:sz w:val="24"/>
          <w:szCs w:val="24"/>
        </w:rPr>
        <w:t>0</w:t>
      </w:r>
      <w:r>
        <w:rPr>
          <w:rFonts w:hint="eastAsia" w:ascii="黑体" w:hAnsi="黑体" w:eastAsia="黑体" w:cs="宋体"/>
          <w:kern w:val="0"/>
          <w:sz w:val="24"/>
          <w:szCs w:val="24"/>
        </w:rPr>
        <w:t>时</w:t>
      </w:r>
      <w:r>
        <w:rPr>
          <w:rFonts w:ascii="黑体" w:hAnsi="黑体" w:eastAsia="黑体" w:cs="宋体"/>
          <w:kern w:val="0"/>
          <w:sz w:val="24"/>
          <w:szCs w:val="24"/>
        </w:rPr>
        <w:t>-21</w:t>
      </w:r>
      <w:r>
        <w:rPr>
          <w:rFonts w:hint="eastAsia" w:ascii="黑体" w:hAnsi="黑体" w:eastAsia="黑体" w:cs="宋体"/>
          <w:kern w:val="0"/>
          <w:sz w:val="24"/>
          <w:szCs w:val="24"/>
        </w:rPr>
        <w:t>日1</w:t>
      </w:r>
      <w:r>
        <w:rPr>
          <w:rFonts w:ascii="黑体" w:hAnsi="黑体" w:eastAsia="黑体" w:cs="宋体"/>
          <w:kern w:val="0"/>
          <w:sz w:val="24"/>
          <w:szCs w:val="24"/>
        </w:rPr>
        <w:t>4</w:t>
      </w:r>
      <w:r>
        <w:rPr>
          <w:rFonts w:hint="eastAsia" w:ascii="黑体" w:hAnsi="黑体" w:eastAsia="黑体" w:cs="宋体"/>
          <w:kern w:val="0"/>
          <w:sz w:val="24"/>
          <w:szCs w:val="24"/>
        </w:rPr>
        <w:t>时）通过信息平台将执行期总结报告在线提交至国家留学基金委。</w:t>
      </w:r>
    </w:p>
    <w:p w14:paraId="4941FA26">
      <w:pPr>
        <w:widowControl/>
        <w:shd w:val="clear" w:color="auto" w:fill="FFFFFF"/>
        <w:adjustRightInd w:val="0"/>
        <w:snapToGrid w:val="0"/>
        <w:spacing w:before="156" w:beforeLines="50"/>
        <w:ind w:firstLine="480" w:firstLineChars="200"/>
        <w:contextualSpacing/>
        <w:rPr>
          <w:rFonts w:ascii="黑体" w:hAnsi="黑体" w:eastAsia="黑体" w:cs="宋体"/>
          <w:kern w:val="0"/>
          <w:sz w:val="24"/>
          <w:szCs w:val="24"/>
        </w:rPr>
      </w:pPr>
      <w:r>
        <w:rPr>
          <w:rFonts w:hint="eastAsia" w:ascii="黑体" w:hAnsi="黑体" w:eastAsia="黑体" w:cs="宋体"/>
          <w:kern w:val="0"/>
          <w:sz w:val="24"/>
          <w:szCs w:val="24"/>
        </w:rPr>
        <w:t>执行期</w:t>
      </w:r>
      <w:r>
        <w:rPr>
          <w:rFonts w:ascii="黑体" w:hAnsi="黑体" w:eastAsia="黑体" w:cs="宋体"/>
          <w:kern w:val="0"/>
          <w:sz w:val="24"/>
          <w:szCs w:val="24"/>
        </w:rPr>
        <w:t>总结</w:t>
      </w:r>
      <w:r>
        <w:rPr>
          <w:rFonts w:hint="eastAsia" w:ascii="黑体" w:hAnsi="黑体" w:eastAsia="黑体" w:cs="宋体"/>
          <w:kern w:val="0"/>
          <w:sz w:val="24"/>
          <w:szCs w:val="24"/>
        </w:rPr>
        <w:t>报告</w:t>
      </w:r>
      <w:r>
        <w:rPr>
          <w:rFonts w:ascii="黑体" w:hAnsi="黑体" w:eastAsia="黑体" w:cs="宋体"/>
          <w:kern w:val="0"/>
          <w:sz w:val="24"/>
          <w:szCs w:val="24"/>
        </w:rPr>
        <w:t>应对执行</w:t>
      </w:r>
      <w:r>
        <w:rPr>
          <w:rFonts w:hint="eastAsia" w:ascii="黑体" w:hAnsi="黑体" w:eastAsia="黑体" w:cs="宋体"/>
          <w:kern w:val="0"/>
          <w:sz w:val="24"/>
          <w:szCs w:val="24"/>
        </w:rPr>
        <w:t>三年</w:t>
      </w:r>
      <w:r>
        <w:rPr>
          <w:rFonts w:ascii="黑体" w:hAnsi="黑体" w:eastAsia="黑体" w:cs="宋体"/>
          <w:kern w:val="0"/>
          <w:sz w:val="24"/>
          <w:szCs w:val="24"/>
        </w:rPr>
        <w:t>期间人员选派情况（申报、录取、派出人数）、回国情况（回国人员信息及去向）、项目目标完成情况（按照项目预期目标逐一比对）、初步留学效益及科研成果、国外合作方对项目的评价、主要问题、未来计划等内容进行全面梳理和总结。</w:t>
      </w:r>
    </w:p>
    <w:p w14:paraId="5961D4B4">
      <w:pPr>
        <w:widowControl/>
        <w:shd w:val="clear" w:color="auto" w:fill="FFFFFF"/>
        <w:adjustRightInd w:val="0"/>
        <w:snapToGrid w:val="0"/>
        <w:spacing w:before="156" w:beforeLines="50" w:line="240" w:lineRule="atLeast"/>
        <w:ind w:firstLine="482" w:firstLineChars="200"/>
        <w:contextualSpacing/>
        <w:rPr>
          <w:rFonts w:ascii="黑体" w:hAnsi="黑体" w:eastAsia="黑体" w:cs="宋体"/>
          <w:kern w:val="0"/>
          <w:sz w:val="24"/>
          <w:szCs w:val="24"/>
        </w:rPr>
      </w:pPr>
      <w:r>
        <w:rPr>
          <w:rFonts w:hint="eastAsia" w:ascii="黑体" w:hAnsi="黑体" w:eastAsia="黑体" w:cs="宋体"/>
          <w:b/>
          <w:kern w:val="0"/>
          <w:sz w:val="24"/>
          <w:szCs w:val="24"/>
        </w:rPr>
        <w:t>第十八条</w:t>
      </w:r>
      <w:r>
        <w:rPr>
          <w:rFonts w:hint="eastAsia" w:ascii="黑体" w:hAnsi="黑体" w:eastAsia="黑体" w:cs="宋体"/>
          <w:kern w:val="0"/>
          <w:sz w:val="24"/>
          <w:szCs w:val="24"/>
        </w:rPr>
        <w:t xml:space="preserve"> 执行满三年项目，如希继续执行，需作为新项目重新申报并参加专家评审。</w:t>
      </w:r>
    </w:p>
    <w:p w14:paraId="5372DBB2">
      <w:pPr>
        <w:widowControl/>
        <w:shd w:val="clear" w:color="auto" w:fill="FFFFFF"/>
        <w:adjustRightInd w:val="0"/>
        <w:snapToGrid w:val="0"/>
        <w:spacing w:before="156" w:beforeLines="50" w:line="240" w:lineRule="atLeast"/>
        <w:contextualSpacing/>
        <w:jc w:val="center"/>
        <w:rPr>
          <w:rFonts w:ascii="黑体" w:hAnsi="黑体" w:eastAsia="黑体" w:cs="宋体"/>
          <w:b/>
          <w:bCs/>
          <w:kern w:val="0"/>
          <w:sz w:val="28"/>
          <w:szCs w:val="28"/>
        </w:rPr>
      </w:pPr>
      <w:r>
        <w:rPr>
          <w:rFonts w:ascii="黑体" w:hAnsi="黑体" w:eastAsia="黑体" w:cs="宋体"/>
          <w:b/>
          <w:bCs/>
          <w:kern w:val="0"/>
          <w:sz w:val="28"/>
          <w:szCs w:val="28"/>
        </w:rPr>
        <w:t>第四章</w:t>
      </w:r>
      <w:r>
        <w:rPr>
          <w:rFonts w:ascii="Calibri" w:hAnsi="Calibri" w:eastAsia="黑体" w:cs="Calibri"/>
          <w:b/>
          <w:bCs/>
          <w:kern w:val="0"/>
          <w:sz w:val="28"/>
          <w:szCs w:val="28"/>
        </w:rPr>
        <w:t>  </w:t>
      </w:r>
      <w:r>
        <w:rPr>
          <w:rFonts w:ascii="黑体" w:hAnsi="黑体" w:eastAsia="黑体" w:cs="宋体"/>
          <w:b/>
          <w:bCs/>
          <w:kern w:val="0"/>
          <w:sz w:val="28"/>
          <w:szCs w:val="28"/>
        </w:rPr>
        <w:t>人员选拔与录取办法</w:t>
      </w:r>
    </w:p>
    <w:p w14:paraId="68ADD9A6">
      <w:pPr>
        <w:widowControl/>
        <w:shd w:val="clear" w:color="auto" w:fill="FFFFFF"/>
        <w:adjustRightInd w:val="0"/>
        <w:snapToGrid w:val="0"/>
        <w:spacing w:before="156" w:beforeLines="50"/>
        <w:ind w:firstLine="482" w:firstLineChars="200"/>
        <w:contextualSpacing/>
        <w:rPr>
          <w:rFonts w:ascii="黑体" w:hAnsi="黑体" w:eastAsia="黑体" w:cs="宋体"/>
          <w:kern w:val="0"/>
          <w:sz w:val="24"/>
          <w:szCs w:val="24"/>
        </w:rPr>
      </w:pPr>
      <w:r>
        <w:rPr>
          <w:rFonts w:ascii="黑体" w:hAnsi="黑体" w:eastAsia="黑体" w:cs="宋体"/>
          <w:b/>
          <w:kern w:val="0"/>
          <w:sz w:val="24"/>
          <w:szCs w:val="24"/>
        </w:rPr>
        <w:t>第</w:t>
      </w:r>
      <w:r>
        <w:rPr>
          <w:rFonts w:hint="eastAsia" w:ascii="黑体" w:hAnsi="黑体" w:eastAsia="黑体" w:cs="宋体"/>
          <w:b/>
          <w:kern w:val="0"/>
          <w:sz w:val="24"/>
          <w:szCs w:val="24"/>
        </w:rPr>
        <w:t>十九</w:t>
      </w:r>
      <w:r>
        <w:rPr>
          <w:rFonts w:ascii="黑体" w:hAnsi="黑体" w:eastAsia="黑体" w:cs="宋体"/>
          <w:b/>
          <w:kern w:val="0"/>
          <w:sz w:val="24"/>
          <w:szCs w:val="24"/>
        </w:rPr>
        <w:t>条</w:t>
      </w:r>
      <w:r>
        <w:rPr>
          <w:rFonts w:ascii="Calibri" w:hAnsi="Calibri" w:eastAsia="黑体" w:cs="Calibri"/>
          <w:kern w:val="0"/>
          <w:sz w:val="24"/>
          <w:szCs w:val="24"/>
        </w:rPr>
        <w:t>  </w:t>
      </w:r>
      <w:r>
        <w:rPr>
          <w:rFonts w:hint="eastAsia" w:ascii="黑体" w:hAnsi="黑体" w:eastAsia="黑体" w:cs="宋体"/>
          <w:kern w:val="0"/>
          <w:sz w:val="24"/>
          <w:szCs w:val="24"/>
        </w:rPr>
        <w:t>本</w:t>
      </w:r>
      <w:r>
        <w:rPr>
          <w:rFonts w:ascii="黑体" w:hAnsi="黑体" w:eastAsia="黑体" w:cs="宋体"/>
          <w:kern w:val="0"/>
          <w:sz w:val="24"/>
          <w:szCs w:val="24"/>
        </w:rPr>
        <w:t>项目依托各项目单位获批项目进行人员选派。国家留学基金委不直接受理个人申请。</w:t>
      </w:r>
    </w:p>
    <w:p w14:paraId="5B6C0F9D">
      <w:pPr>
        <w:widowControl/>
        <w:shd w:val="clear" w:color="auto" w:fill="FFFFFF"/>
        <w:adjustRightInd w:val="0"/>
        <w:snapToGrid w:val="0"/>
        <w:spacing w:before="156" w:beforeLines="50"/>
        <w:ind w:firstLine="482" w:firstLineChars="200"/>
        <w:contextualSpacing/>
        <w:rPr>
          <w:rFonts w:ascii="黑体" w:hAnsi="黑体" w:eastAsia="黑体" w:cs="宋体"/>
          <w:kern w:val="0"/>
          <w:sz w:val="24"/>
          <w:szCs w:val="24"/>
        </w:rPr>
      </w:pPr>
      <w:r>
        <w:rPr>
          <w:rFonts w:ascii="黑体" w:hAnsi="黑体" w:eastAsia="黑体" w:cs="宋体"/>
          <w:b/>
          <w:kern w:val="0"/>
          <w:sz w:val="24"/>
          <w:szCs w:val="24"/>
        </w:rPr>
        <w:t>第二</w:t>
      </w:r>
      <w:r>
        <w:rPr>
          <w:rFonts w:hint="eastAsia" w:ascii="黑体" w:hAnsi="黑体" w:eastAsia="黑体" w:cs="宋体"/>
          <w:b/>
          <w:kern w:val="0"/>
          <w:sz w:val="24"/>
          <w:szCs w:val="24"/>
        </w:rPr>
        <w:t>十</w:t>
      </w:r>
      <w:r>
        <w:rPr>
          <w:rFonts w:ascii="黑体" w:hAnsi="黑体" w:eastAsia="黑体" w:cs="宋体"/>
          <w:b/>
          <w:kern w:val="0"/>
          <w:sz w:val="24"/>
          <w:szCs w:val="24"/>
        </w:rPr>
        <w:t>条</w:t>
      </w:r>
      <w:r>
        <w:rPr>
          <w:rFonts w:hint="eastAsia" w:ascii="黑体" w:hAnsi="黑体" w:eastAsia="黑体" w:cs="宋体"/>
          <w:kern w:val="0"/>
          <w:sz w:val="24"/>
          <w:szCs w:val="24"/>
        </w:rPr>
        <w:t xml:space="preserve"> 申请人不得同时享受全国哲学社会科学工作办公室科研项目资助出国留学。</w:t>
      </w:r>
    </w:p>
    <w:p w14:paraId="3F6AF6D7">
      <w:pPr>
        <w:widowControl/>
        <w:shd w:val="clear" w:color="auto" w:fill="FFFFFF"/>
        <w:adjustRightInd w:val="0"/>
        <w:snapToGrid w:val="0"/>
        <w:spacing w:before="156" w:beforeLines="50"/>
        <w:ind w:firstLine="482" w:firstLineChars="200"/>
        <w:contextualSpacing/>
        <w:rPr>
          <w:rFonts w:ascii="黑体" w:hAnsi="黑体" w:eastAsia="黑体" w:cs="宋体"/>
          <w:kern w:val="0"/>
          <w:sz w:val="24"/>
          <w:szCs w:val="24"/>
        </w:rPr>
      </w:pPr>
      <w:r>
        <w:rPr>
          <w:rFonts w:ascii="黑体" w:hAnsi="黑体" w:eastAsia="黑体" w:cs="宋体"/>
          <w:b/>
          <w:kern w:val="0"/>
          <w:sz w:val="24"/>
          <w:szCs w:val="24"/>
        </w:rPr>
        <w:t>第</w:t>
      </w:r>
      <w:r>
        <w:rPr>
          <w:rFonts w:hint="eastAsia" w:ascii="黑体" w:hAnsi="黑体" w:eastAsia="黑体" w:cs="宋体"/>
          <w:b/>
          <w:kern w:val="0"/>
          <w:sz w:val="24"/>
          <w:szCs w:val="24"/>
        </w:rPr>
        <w:t>二十一</w:t>
      </w:r>
      <w:r>
        <w:rPr>
          <w:rFonts w:ascii="黑体" w:hAnsi="黑体" w:eastAsia="黑体" w:cs="宋体"/>
          <w:b/>
          <w:kern w:val="0"/>
          <w:sz w:val="24"/>
          <w:szCs w:val="24"/>
        </w:rPr>
        <w:t>条</w:t>
      </w:r>
      <w:r>
        <w:rPr>
          <w:rFonts w:hint="eastAsia" w:ascii="黑体" w:hAnsi="黑体" w:eastAsia="黑体" w:cs="宋体"/>
          <w:kern w:val="0"/>
          <w:sz w:val="24"/>
          <w:szCs w:val="24"/>
        </w:rPr>
        <w:t xml:space="preserve"> </w:t>
      </w:r>
      <w:r>
        <w:rPr>
          <w:rFonts w:ascii="黑体" w:hAnsi="黑体" w:eastAsia="黑体" w:cs="宋体"/>
          <w:kern w:val="0"/>
          <w:sz w:val="24"/>
          <w:szCs w:val="24"/>
        </w:rPr>
        <w:t>项目单位根据获批资助项目立项通知及本单位制定的项目执行和管理办法，按照“公开、公平、公正”的原则，选拔符合条件的优秀人选，经评审和公示后向国家留学基金委推荐。项目单位推荐、选拔及公示工作应于申请人网上申报前完成，公示时间应不少于5个工作日。</w:t>
      </w:r>
    </w:p>
    <w:p w14:paraId="4B3E07A4">
      <w:pPr>
        <w:widowControl/>
        <w:shd w:val="clear" w:color="auto" w:fill="FFFFFF"/>
        <w:adjustRightInd w:val="0"/>
        <w:snapToGrid w:val="0"/>
        <w:spacing w:before="156" w:beforeLines="50"/>
        <w:ind w:firstLine="482" w:firstLineChars="200"/>
        <w:contextualSpacing/>
        <w:rPr>
          <w:rFonts w:ascii="黑体" w:hAnsi="黑体" w:eastAsia="黑体" w:cs="宋体"/>
          <w:kern w:val="0"/>
          <w:sz w:val="24"/>
          <w:szCs w:val="24"/>
        </w:rPr>
      </w:pPr>
      <w:r>
        <w:rPr>
          <w:rFonts w:ascii="黑体" w:hAnsi="黑体" w:eastAsia="黑体" w:cs="宋体"/>
          <w:b/>
          <w:kern w:val="0"/>
          <w:sz w:val="24"/>
          <w:szCs w:val="24"/>
        </w:rPr>
        <w:t>第二十</w:t>
      </w:r>
      <w:r>
        <w:rPr>
          <w:rFonts w:hint="eastAsia" w:ascii="黑体" w:hAnsi="黑体" w:eastAsia="黑体" w:cs="宋体"/>
          <w:b/>
          <w:kern w:val="0"/>
          <w:sz w:val="24"/>
          <w:szCs w:val="24"/>
        </w:rPr>
        <w:t>二</w:t>
      </w:r>
      <w:r>
        <w:rPr>
          <w:rFonts w:ascii="黑体" w:hAnsi="黑体" w:eastAsia="黑体" w:cs="宋体"/>
          <w:b/>
          <w:kern w:val="0"/>
          <w:sz w:val="24"/>
          <w:szCs w:val="24"/>
        </w:rPr>
        <w:t>条</w:t>
      </w:r>
      <w:r>
        <w:rPr>
          <w:rFonts w:ascii="Calibri" w:hAnsi="Calibri" w:eastAsia="黑体" w:cs="Calibri"/>
          <w:kern w:val="0"/>
          <w:sz w:val="24"/>
          <w:szCs w:val="24"/>
        </w:rPr>
        <w:t>  </w:t>
      </w:r>
      <w:r>
        <w:rPr>
          <w:rFonts w:ascii="黑体" w:hAnsi="黑体" w:eastAsia="黑体" w:cs="宋体"/>
          <w:b/>
          <w:kern w:val="0"/>
          <w:sz w:val="24"/>
          <w:szCs w:val="24"/>
        </w:rPr>
        <w:t>2026年人员申报及申报受理时间为：</w:t>
      </w:r>
      <w:r>
        <w:rPr>
          <w:rFonts w:hint="eastAsia" w:ascii="黑体" w:hAnsi="黑体" w:eastAsia="黑体" w:cs="宋体"/>
          <w:b/>
          <w:kern w:val="0"/>
          <w:sz w:val="24"/>
          <w:szCs w:val="24"/>
        </w:rPr>
        <w:t>第一批202</w:t>
      </w:r>
      <w:r>
        <w:rPr>
          <w:rFonts w:ascii="黑体" w:hAnsi="黑体" w:eastAsia="黑体" w:cs="宋体"/>
          <w:b/>
          <w:kern w:val="0"/>
          <w:sz w:val="24"/>
          <w:szCs w:val="24"/>
        </w:rPr>
        <w:t>6</w:t>
      </w:r>
      <w:r>
        <w:rPr>
          <w:rFonts w:hint="eastAsia" w:ascii="黑体" w:hAnsi="黑体" w:eastAsia="黑体" w:cs="宋体"/>
          <w:b/>
          <w:kern w:val="0"/>
          <w:sz w:val="24"/>
          <w:szCs w:val="24"/>
        </w:rPr>
        <w:t>年3月10日0时至</w:t>
      </w:r>
      <w:r>
        <w:rPr>
          <w:rFonts w:ascii="黑体" w:hAnsi="黑体" w:eastAsia="黑体" w:cs="宋体"/>
          <w:b/>
          <w:kern w:val="0"/>
          <w:sz w:val="24"/>
          <w:szCs w:val="24"/>
        </w:rPr>
        <w:t>2</w:t>
      </w:r>
      <w:r>
        <w:rPr>
          <w:rFonts w:hint="eastAsia" w:ascii="黑体" w:hAnsi="黑体" w:eastAsia="黑体" w:cs="宋体"/>
          <w:b/>
          <w:kern w:val="0"/>
          <w:sz w:val="24"/>
          <w:szCs w:val="24"/>
        </w:rPr>
        <w:t>1日14时；第二批2</w:t>
      </w:r>
      <w:r>
        <w:rPr>
          <w:rFonts w:ascii="黑体" w:hAnsi="黑体" w:eastAsia="黑体" w:cs="宋体"/>
          <w:b/>
          <w:kern w:val="0"/>
          <w:sz w:val="24"/>
          <w:szCs w:val="24"/>
        </w:rPr>
        <w:t>026</w:t>
      </w:r>
      <w:r>
        <w:rPr>
          <w:rFonts w:hint="eastAsia" w:ascii="黑体" w:hAnsi="黑体" w:eastAsia="黑体" w:cs="宋体"/>
          <w:b/>
          <w:kern w:val="0"/>
          <w:sz w:val="24"/>
          <w:szCs w:val="24"/>
        </w:rPr>
        <w:t>年</w:t>
      </w:r>
      <w:r>
        <w:rPr>
          <w:rFonts w:ascii="黑体" w:hAnsi="黑体" w:eastAsia="黑体" w:cs="宋体"/>
          <w:b/>
          <w:kern w:val="0"/>
          <w:sz w:val="24"/>
          <w:szCs w:val="24"/>
        </w:rPr>
        <w:t>9</w:t>
      </w:r>
      <w:r>
        <w:rPr>
          <w:rFonts w:hint="eastAsia" w:ascii="黑体" w:hAnsi="黑体" w:eastAsia="黑体" w:cs="宋体"/>
          <w:b/>
          <w:kern w:val="0"/>
          <w:sz w:val="24"/>
          <w:szCs w:val="24"/>
        </w:rPr>
        <w:t>月1日0时至</w:t>
      </w:r>
      <w:r>
        <w:rPr>
          <w:rFonts w:ascii="黑体" w:hAnsi="黑体" w:eastAsia="黑体" w:cs="宋体"/>
          <w:b/>
          <w:kern w:val="0"/>
          <w:sz w:val="24"/>
          <w:szCs w:val="24"/>
        </w:rPr>
        <w:t>11</w:t>
      </w:r>
      <w:r>
        <w:rPr>
          <w:rFonts w:hint="eastAsia" w:ascii="黑体" w:hAnsi="黑体" w:eastAsia="黑体" w:cs="宋体"/>
          <w:b/>
          <w:kern w:val="0"/>
          <w:sz w:val="24"/>
          <w:szCs w:val="24"/>
        </w:rPr>
        <w:t>日14时</w:t>
      </w:r>
      <w:r>
        <w:rPr>
          <w:rFonts w:ascii="黑体" w:hAnsi="黑体" w:eastAsia="黑体" w:cs="宋体"/>
          <w:b/>
          <w:kern w:val="0"/>
          <w:sz w:val="24"/>
          <w:szCs w:val="24"/>
        </w:rPr>
        <w:t>。</w:t>
      </w:r>
      <w:r>
        <w:rPr>
          <w:rFonts w:ascii="黑体" w:hAnsi="黑体" w:eastAsia="黑体" w:cs="宋体"/>
          <w:kern w:val="0"/>
          <w:sz w:val="24"/>
          <w:szCs w:val="24"/>
        </w:rPr>
        <w:t>项目单位须统一组织推荐人选在规定时间内登录国家公派留学管理信息平台，进行网上申报，按照</w:t>
      </w:r>
      <w:r>
        <w:rPr>
          <w:rFonts w:hint="eastAsia" w:ascii="黑体" w:hAnsi="黑体" w:eastAsia="黑体" w:cs="宋体"/>
          <w:kern w:val="0"/>
          <w:sz w:val="24"/>
          <w:szCs w:val="24"/>
        </w:rPr>
        <w:t>《2</w:t>
      </w:r>
      <w:r>
        <w:rPr>
          <w:rFonts w:ascii="黑体" w:hAnsi="黑体" w:eastAsia="黑体" w:cs="宋体"/>
          <w:kern w:val="0"/>
          <w:sz w:val="24"/>
          <w:szCs w:val="24"/>
        </w:rPr>
        <w:t>026</w:t>
      </w:r>
      <w:r>
        <w:rPr>
          <w:rFonts w:hint="eastAsia" w:ascii="黑体" w:hAnsi="黑体" w:eastAsia="黑体" w:cs="宋体"/>
          <w:kern w:val="0"/>
          <w:sz w:val="24"/>
          <w:szCs w:val="24"/>
        </w:rPr>
        <w:t>年国别和区域研究人才支持计划</w:t>
      </w:r>
      <w:r>
        <w:rPr>
          <w:rFonts w:ascii="黑体" w:hAnsi="黑体" w:eastAsia="黑体" w:cs="宋体"/>
          <w:kern w:val="0"/>
          <w:sz w:val="24"/>
          <w:szCs w:val="24"/>
        </w:rPr>
        <w:t>人员申请材料及说明》准备申请材料并在线提交。申请人应对材料的真实性负责，因申请材料原因导致的责任和后果由申请人承担。</w:t>
      </w:r>
    </w:p>
    <w:p w14:paraId="2710DB13">
      <w:pPr>
        <w:widowControl/>
        <w:shd w:val="clear" w:color="auto" w:fill="FFFFFF"/>
        <w:adjustRightInd w:val="0"/>
        <w:snapToGrid w:val="0"/>
        <w:spacing w:before="156" w:beforeLines="50"/>
        <w:ind w:firstLine="482" w:firstLineChars="200"/>
        <w:contextualSpacing/>
        <w:rPr>
          <w:rFonts w:ascii="黑体" w:hAnsi="黑体" w:eastAsia="黑体" w:cs="宋体"/>
          <w:kern w:val="0"/>
          <w:sz w:val="24"/>
          <w:szCs w:val="24"/>
        </w:rPr>
      </w:pPr>
      <w:r>
        <w:rPr>
          <w:rFonts w:ascii="黑体" w:hAnsi="黑体" w:eastAsia="黑体" w:cs="宋体"/>
          <w:b/>
          <w:kern w:val="0"/>
          <w:sz w:val="24"/>
          <w:szCs w:val="24"/>
        </w:rPr>
        <w:t>第二十</w:t>
      </w:r>
      <w:r>
        <w:rPr>
          <w:rFonts w:hint="eastAsia" w:ascii="黑体" w:hAnsi="黑体" w:eastAsia="黑体" w:cs="宋体"/>
          <w:b/>
          <w:kern w:val="0"/>
          <w:sz w:val="24"/>
          <w:szCs w:val="24"/>
        </w:rPr>
        <w:t>三</w:t>
      </w:r>
      <w:r>
        <w:rPr>
          <w:rFonts w:ascii="黑体" w:hAnsi="黑体" w:eastAsia="黑体" w:cs="宋体"/>
          <w:b/>
          <w:kern w:val="0"/>
          <w:sz w:val="24"/>
          <w:szCs w:val="24"/>
        </w:rPr>
        <w:t>条</w:t>
      </w:r>
      <w:r>
        <w:rPr>
          <w:rFonts w:hint="eastAsia" w:ascii="Calibri" w:hAnsi="Calibri" w:eastAsia="黑体" w:cs="Calibri"/>
          <w:kern w:val="0"/>
          <w:sz w:val="24"/>
          <w:szCs w:val="24"/>
        </w:rPr>
        <w:t xml:space="preserve"> </w:t>
      </w:r>
      <w:r>
        <w:rPr>
          <w:rFonts w:ascii="黑体" w:hAnsi="黑体" w:eastAsia="黑体" w:cs="宋体"/>
          <w:kern w:val="0"/>
          <w:sz w:val="24"/>
          <w:szCs w:val="24"/>
        </w:rPr>
        <w:t>项目单位应从申请人的政治思想、道德品行、学术诚信、身心健康、申请资格、综合素质、学习计划可行性等方面对推荐人选的申请材料进行认真审核，按照工作要求填写《</w:t>
      </w:r>
      <w:r>
        <w:rPr>
          <w:rFonts w:hint="eastAsia" w:ascii="黑体" w:hAnsi="黑体" w:eastAsia="黑体" w:cs="宋体"/>
          <w:kern w:val="0"/>
          <w:sz w:val="24"/>
          <w:szCs w:val="24"/>
        </w:rPr>
        <w:t>国别和区域研究人才支持计划</w:t>
      </w:r>
      <w:r>
        <w:rPr>
          <w:rFonts w:ascii="黑体" w:hAnsi="黑体" w:eastAsia="黑体" w:cs="宋体"/>
          <w:kern w:val="0"/>
          <w:sz w:val="24"/>
          <w:szCs w:val="24"/>
        </w:rPr>
        <w:t>人员材料审核表》并在线提交。</w:t>
      </w:r>
    </w:p>
    <w:p w14:paraId="63C0DB79">
      <w:pPr>
        <w:widowControl/>
        <w:shd w:val="clear" w:color="auto" w:fill="FFFFFF"/>
        <w:adjustRightInd w:val="0"/>
        <w:snapToGrid w:val="0"/>
        <w:spacing w:before="156" w:beforeLines="50"/>
        <w:ind w:firstLine="482" w:firstLineChars="200"/>
        <w:contextualSpacing/>
        <w:rPr>
          <w:rFonts w:ascii="黑体" w:hAnsi="黑体" w:eastAsia="黑体" w:cs="宋体"/>
          <w:kern w:val="0"/>
          <w:sz w:val="24"/>
          <w:szCs w:val="24"/>
        </w:rPr>
      </w:pPr>
      <w:r>
        <w:rPr>
          <w:rFonts w:ascii="黑体" w:hAnsi="黑体" w:eastAsia="黑体" w:cs="宋体"/>
          <w:b/>
          <w:kern w:val="0"/>
          <w:sz w:val="24"/>
          <w:szCs w:val="24"/>
        </w:rPr>
        <w:t>第二十</w:t>
      </w:r>
      <w:r>
        <w:rPr>
          <w:rFonts w:hint="eastAsia" w:ascii="黑体" w:hAnsi="黑体" w:eastAsia="黑体" w:cs="宋体"/>
          <w:b/>
          <w:kern w:val="0"/>
          <w:sz w:val="24"/>
          <w:szCs w:val="24"/>
        </w:rPr>
        <w:t>四</w:t>
      </w:r>
      <w:r>
        <w:rPr>
          <w:rFonts w:ascii="黑体" w:hAnsi="黑体" w:eastAsia="黑体" w:cs="宋体"/>
          <w:b/>
          <w:kern w:val="0"/>
          <w:sz w:val="24"/>
          <w:szCs w:val="24"/>
        </w:rPr>
        <w:t>条</w:t>
      </w:r>
      <w:r>
        <w:rPr>
          <w:rFonts w:ascii="Calibri" w:hAnsi="Calibri" w:eastAsia="黑体" w:cs="Calibri"/>
          <w:kern w:val="0"/>
          <w:sz w:val="24"/>
          <w:szCs w:val="24"/>
        </w:rPr>
        <w:t> </w:t>
      </w:r>
      <w:r>
        <w:rPr>
          <w:rFonts w:ascii="黑体" w:hAnsi="黑体" w:eastAsia="黑体" w:cs="宋体"/>
          <w:kern w:val="0"/>
          <w:sz w:val="24"/>
          <w:szCs w:val="24"/>
        </w:rPr>
        <w:t>项目单位应于</w:t>
      </w:r>
      <w:r>
        <w:rPr>
          <w:rFonts w:ascii="黑体" w:hAnsi="黑体" w:eastAsia="黑体" w:cs="宋体"/>
          <w:b/>
          <w:kern w:val="0"/>
          <w:sz w:val="24"/>
          <w:szCs w:val="24"/>
        </w:rPr>
        <w:t>2026年4月12日前</w:t>
      </w:r>
      <w:r>
        <w:rPr>
          <w:rFonts w:hint="eastAsia" w:ascii="黑体" w:hAnsi="黑体" w:eastAsia="黑体" w:cs="宋体"/>
          <w:b/>
          <w:kern w:val="0"/>
          <w:sz w:val="24"/>
          <w:szCs w:val="24"/>
        </w:rPr>
        <w:t>（第一批）、9月2</w:t>
      </w:r>
      <w:r>
        <w:rPr>
          <w:rFonts w:ascii="黑体" w:hAnsi="黑体" w:eastAsia="黑体" w:cs="宋体"/>
          <w:b/>
          <w:kern w:val="0"/>
          <w:sz w:val="24"/>
          <w:szCs w:val="24"/>
        </w:rPr>
        <w:t>0</w:t>
      </w:r>
      <w:r>
        <w:rPr>
          <w:rFonts w:hint="eastAsia" w:ascii="黑体" w:hAnsi="黑体" w:eastAsia="黑体" w:cs="宋体"/>
          <w:b/>
          <w:kern w:val="0"/>
          <w:sz w:val="24"/>
          <w:szCs w:val="24"/>
        </w:rPr>
        <w:t>日前（第二批）</w:t>
      </w:r>
      <w:r>
        <w:rPr>
          <w:rFonts w:ascii="黑体" w:hAnsi="黑体" w:eastAsia="黑体" w:cs="宋体"/>
          <w:kern w:val="0"/>
          <w:sz w:val="24"/>
          <w:szCs w:val="24"/>
        </w:rPr>
        <w:t>通过信息平台为申请人填写具有针对性的单位推荐意见，在线提交单位推荐公函（公函中须明确是否已公示）及《推荐人员名单》。无需向国家留学基金委提交书面材料。</w:t>
      </w:r>
    </w:p>
    <w:p w14:paraId="626A9F38">
      <w:pPr>
        <w:widowControl/>
        <w:shd w:val="clear" w:color="auto" w:fill="FFFFFF"/>
        <w:adjustRightInd w:val="0"/>
        <w:snapToGrid w:val="0"/>
        <w:spacing w:before="156" w:beforeLines="50"/>
        <w:ind w:firstLine="482" w:firstLineChars="200"/>
        <w:contextualSpacing/>
        <w:rPr>
          <w:rFonts w:ascii="黑体" w:hAnsi="黑体" w:eastAsia="黑体" w:cs="宋体"/>
          <w:kern w:val="0"/>
          <w:sz w:val="24"/>
          <w:szCs w:val="24"/>
        </w:rPr>
      </w:pPr>
      <w:r>
        <w:rPr>
          <w:rFonts w:ascii="黑体" w:hAnsi="黑体" w:eastAsia="黑体" w:cs="宋体"/>
          <w:b/>
          <w:kern w:val="0"/>
          <w:sz w:val="24"/>
          <w:szCs w:val="24"/>
        </w:rPr>
        <w:t>第二十</w:t>
      </w:r>
      <w:r>
        <w:rPr>
          <w:rFonts w:hint="eastAsia" w:ascii="黑体" w:hAnsi="黑体" w:eastAsia="黑体" w:cs="宋体"/>
          <w:b/>
          <w:kern w:val="0"/>
          <w:sz w:val="24"/>
          <w:szCs w:val="24"/>
        </w:rPr>
        <w:t>五</w:t>
      </w:r>
      <w:r>
        <w:rPr>
          <w:rFonts w:ascii="黑体" w:hAnsi="黑体" w:eastAsia="黑体" w:cs="宋体"/>
          <w:b/>
          <w:kern w:val="0"/>
          <w:sz w:val="24"/>
          <w:szCs w:val="24"/>
        </w:rPr>
        <w:t>条</w:t>
      </w:r>
      <w:r>
        <w:rPr>
          <w:rFonts w:ascii="Calibri" w:hAnsi="Calibri" w:eastAsia="黑体" w:cs="Calibri"/>
          <w:kern w:val="0"/>
          <w:sz w:val="24"/>
          <w:szCs w:val="24"/>
        </w:rPr>
        <w:t>  </w:t>
      </w:r>
      <w:r>
        <w:rPr>
          <w:rFonts w:ascii="黑体" w:hAnsi="黑体" w:eastAsia="黑体" w:cs="宋体"/>
          <w:kern w:val="0"/>
          <w:sz w:val="24"/>
          <w:szCs w:val="24"/>
        </w:rPr>
        <w:t>国家留学基金委对项目单位推荐人选进行审核后确定是否录取。</w:t>
      </w:r>
    </w:p>
    <w:p w14:paraId="51D02626">
      <w:pPr>
        <w:widowControl/>
        <w:shd w:val="clear" w:color="auto" w:fill="FFFFFF"/>
        <w:adjustRightInd w:val="0"/>
        <w:snapToGrid w:val="0"/>
        <w:spacing w:before="156" w:beforeLines="50"/>
        <w:ind w:firstLine="482" w:firstLineChars="200"/>
        <w:contextualSpacing/>
        <w:rPr>
          <w:rFonts w:ascii="黑体" w:hAnsi="黑体" w:eastAsia="黑体" w:cs="宋体"/>
          <w:kern w:val="0"/>
          <w:sz w:val="24"/>
          <w:szCs w:val="24"/>
        </w:rPr>
      </w:pPr>
      <w:r>
        <w:rPr>
          <w:rFonts w:ascii="黑体" w:hAnsi="黑体" w:eastAsia="黑体" w:cs="宋体"/>
          <w:b/>
          <w:kern w:val="0"/>
          <w:sz w:val="24"/>
          <w:szCs w:val="24"/>
        </w:rPr>
        <w:t>第二十</w:t>
      </w:r>
      <w:r>
        <w:rPr>
          <w:rFonts w:hint="eastAsia" w:ascii="黑体" w:hAnsi="黑体" w:eastAsia="黑体" w:cs="宋体"/>
          <w:b/>
          <w:kern w:val="0"/>
          <w:sz w:val="24"/>
          <w:szCs w:val="24"/>
        </w:rPr>
        <w:t>六</w:t>
      </w:r>
      <w:r>
        <w:rPr>
          <w:rFonts w:ascii="黑体" w:hAnsi="黑体" w:eastAsia="黑体" w:cs="宋体"/>
          <w:b/>
          <w:kern w:val="0"/>
          <w:sz w:val="24"/>
          <w:szCs w:val="24"/>
        </w:rPr>
        <w:t>条</w:t>
      </w:r>
      <w:r>
        <w:rPr>
          <w:rFonts w:ascii="Calibri" w:hAnsi="Calibri" w:eastAsia="黑体" w:cs="Calibri"/>
          <w:kern w:val="0"/>
          <w:sz w:val="24"/>
          <w:szCs w:val="24"/>
        </w:rPr>
        <w:t xml:space="preserve"> </w:t>
      </w:r>
      <w:r>
        <w:rPr>
          <w:rFonts w:ascii="黑体" w:hAnsi="黑体" w:eastAsia="黑体" w:cs="宋体"/>
          <w:kern w:val="0"/>
          <w:sz w:val="24"/>
          <w:szCs w:val="24"/>
        </w:rPr>
        <w:t>录取结果将</w:t>
      </w:r>
      <w:r>
        <w:rPr>
          <w:rFonts w:hint="eastAsia" w:ascii="黑体" w:hAnsi="黑体" w:eastAsia="黑体" w:cs="宋体"/>
          <w:kern w:val="0"/>
          <w:sz w:val="24"/>
          <w:szCs w:val="24"/>
        </w:rPr>
        <w:t>2</w:t>
      </w:r>
      <w:r>
        <w:rPr>
          <w:rFonts w:ascii="黑体" w:hAnsi="黑体" w:eastAsia="黑体" w:cs="宋体"/>
          <w:kern w:val="0"/>
          <w:sz w:val="24"/>
          <w:szCs w:val="24"/>
        </w:rPr>
        <w:t>026</w:t>
      </w:r>
      <w:r>
        <w:rPr>
          <w:rFonts w:hint="eastAsia" w:ascii="黑体" w:hAnsi="黑体" w:eastAsia="黑体" w:cs="宋体"/>
          <w:kern w:val="0"/>
          <w:sz w:val="24"/>
          <w:szCs w:val="24"/>
        </w:rPr>
        <w:t>年6月底前及1</w:t>
      </w:r>
      <w:r>
        <w:rPr>
          <w:rFonts w:ascii="黑体" w:hAnsi="黑体" w:eastAsia="黑体" w:cs="宋体"/>
          <w:kern w:val="0"/>
          <w:sz w:val="24"/>
          <w:szCs w:val="24"/>
        </w:rPr>
        <w:t>1</w:t>
      </w:r>
      <w:r>
        <w:rPr>
          <w:rFonts w:hint="eastAsia" w:ascii="黑体" w:hAnsi="黑体" w:eastAsia="黑体" w:cs="宋体"/>
          <w:kern w:val="0"/>
          <w:sz w:val="24"/>
          <w:szCs w:val="24"/>
        </w:rPr>
        <w:t>月底</w:t>
      </w:r>
      <w:r>
        <w:rPr>
          <w:rFonts w:ascii="黑体" w:hAnsi="黑体" w:eastAsia="黑体" w:cs="宋体"/>
          <w:kern w:val="0"/>
          <w:sz w:val="24"/>
          <w:szCs w:val="24"/>
        </w:rPr>
        <w:t>前公布。受理单位可登录国家公派留学管理信息平台，自行下载打印录取通知和名单，并通知留学人员及时登录信息平台查询及办理后续派出手续。留学人员可登录信息平台查询录取结果，下载打印录取文件，国家留学基金委不再寄送纸质录取文件。</w:t>
      </w:r>
    </w:p>
    <w:p w14:paraId="4866B0A7">
      <w:pPr>
        <w:widowControl/>
        <w:shd w:val="clear" w:color="auto" w:fill="FFFFFF"/>
        <w:adjustRightInd w:val="0"/>
        <w:snapToGrid w:val="0"/>
        <w:spacing w:before="156" w:beforeLines="50"/>
        <w:ind w:firstLine="480" w:firstLineChars="200"/>
        <w:contextualSpacing/>
        <w:rPr>
          <w:rFonts w:ascii="黑体" w:hAnsi="黑体" w:eastAsia="黑体" w:cs="宋体"/>
          <w:kern w:val="0"/>
          <w:sz w:val="24"/>
          <w:szCs w:val="24"/>
        </w:rPr>
      </w:pPr>
    </w:p>
    <w:p w14:paraId="7957F05B">
      <w:pPr>
        <w:widowControl/>
        <w:shd w:val="clear" w:color="auto" w:fill="FFFFFF"/>
        <w:adjustRightInd w:val="0"/>
        <w:snapToGrid w:val="0"/>
        <w:spacing w:before="156" w:beforeLines="50" w:line="240" w:lineRule="atLeast"/>
        <w:contextualSpacing/>
        <w:jc w:val="center"/>
        <w:rPr>
          <w:rFonts w:ascii="Helvetica" w:hAnsi="Helvetica" w:cs="Helvetica"/>
          <w:color w:val="000000"/>
          <w:kern w:val="0"/>
          <w:sz w:val="24"/>
          <w:szCs w:val="24"/>
        </w:rPr>
      </w:pPr>
      <w:r>
        <w:rPr>
          <w:rFonts w:ascii="黑体" w:hAnsi="黑体" w:eastAsia="黑体" w:cs="宋体"/>
          <w:b/>
          <w:bCs/>
          <w:kern w:val="0"/>
          <w:sz w:val="28"/>
          <w:szCs w:val="28"/>
        </w:rPr>
        <w:t>第五章</w:t>
      </w:r>
      <w:r>
        <w:rPr>
          <w:rFonts w:ascii="Calibri" w:hAnsi="Calibri" w:eastAsia="黑体" w:cs="Calibri"/>
          <w:b/>
          <w:bCs/>
          <w:kern w:val="0"/>
          <w:sz w:val="28"/>
          <w:szCs w:val="28"/>
        </w:rPr>
        <w:t> </w:t>
      </w:r>
      <w:r>
        <w:rPr>
          <w:rFonts w:ascii="黑体" w:hAnsi="黑体" w:eastAsia="黑体" w:cs="宋体"/>
          <w:b/>
          <w:bCs/>
          <w:kern w:val="0"/>
          <w:sz w:val="28"/>
          <w:szCs w:val="28"/>
        </w:rPr>
        <w:t>人选基本条件</w:t>
      </w:r>
    </w:p>
    <w:p w14:paraId="37CCA432">
      <w:pPr>
        <w:widowControl/>
        <w:shd w:val="clear" w:color="auto" w:fill="FFFFFF"/>
        <w:adjustRightInd w:val="0"/>
        <w:snapToGrid w:val="0"/>
        <w:spacing w:before="156" w:beforeLines="50"/>
        <w:ind w:firstLine="482" w:firstLineChars="200"/>
        <w:contextualSpacing/>
        <w:rPr>
          <w:rFonts w:ascii="黑体" w:hAnsi="黑体" w:eastAsia="黑体" w:cs="宋体"/>
          <w:kern w:val="0"/>
          <w:sz w:val="24"/>
          <w:szCs w:val="24"/>
        </w:rPr>
      </w:pPr>
      <w:r>
        <w:rPr>
          <w:rFonts w:ascii="黑体" w:hAnsi="黑体" w:eastAsia="黑体" w:cs="宋体"/>
          <w:b/>
          <w:kern w:val="0"/>
          <w:sz w:val="24"/>
          <w:szCs w:val="24"/>
        </w:rPr>
        <w:t>第二十</w:t>
      </w:r>
      <w:r>
        <w:rPr>
          <w:rFonts w:hint="eastAsia" w:ascii="黑体" w:hAnsi="黑体" w:eastAsia="黑体" w:cs="宋体"/>
          <w:b/>
          <w:kern w:val="0"/>
          <w:sz w:val="24"/>
          <w:szCs w:val="24"/>
        </w:rPr>
        <w:t>七</w:t>
      </w:r>
      <w:r>
        <w:rPr>
          <w:rFonts w:ascii="黑体" w:hAnsi="黑体" w:eastAsia="黑体" w:cs="宋体"/>
          <w:b/>
          <w:kern w:val="0"/>
          <w:sz w:val="24"/>
          <w:szCs w:val="24"/>
        </w:rPr>
        <w:t>条</w:t>
      </w:r>
      <w:r>
        <w:rPr>
          <w:rFonts w:ascii="Calibri" w:hAnsi="Calibri" w:eastAsia="黑体" w:cs="Calibri"/>
          <w:kern w:val="0"/>
          <w:sz w:val="24"/>
          <w:szCs w:val="24"/>
        </w:rPr>
        <w:t> </w:t>
      </w:r>
      <w:r>
        <w:rPr>
          <w:rFonts w:ascii="黑体" w:hAnsi="黑体" w:eastAsia="黑体" w:cs="宋体"/>
          <w:kern w:val="0"/>
          <w:sz w:val="24"/>
          <w:szCs w:val="24"/>
        </w:rPr>
        <w:t>符合当年《国家留学基金资助出国留学人员选派指南》规定的申请人基本条件。</w:t>
      </w:r>
    </w:p>
    <w:p w14:paraId="2D5B5D99">
      <w:pPr>
        <w:widowControl/>
        <w:shd w:val="clear" w:color="auto" w:fill="FFFFFF"/>
        <w:adjustRightInd w:val="0"/>
        <w:snapToGrid w:val="0"/>
        <w:spacing w:before="156" w:beforeLines="50"/>
        <w:ind w:firstLine="482" w:firstLineChars="200"/>
        <w:contextualSpacing/>
        <w:rPr>
          <w:rFonts w:ascii="黑体" w:hAnsi="黑体" w:eastAsia="黑体" w:cs="宋体"/>
          <w:kern w:val="0"/>
          <w:sz w:val="24"/>
          <w:szCs w:val="24"/>
        </w:rPr>
      </w:pPr>
      <w:r>
        <w:rPr>
          <w:rFonts w:ascii="黑体" w:hAnsi="黑体" w:eastAsia="黑体" w:cs="宋体"/>
          <w:b/>
          <w:kern w:val="0"/>
          <w:sz w:val="24"/>
          <w:szCs w:val="24"/>
        </w:rPr>
        <w:t>第</w:t>
      </w:r>
      <w:r>
        <w:rPr>
          <w:rFonts w:hint="eastAsia" w:ascii="黑体" w:hAnsi="黑体" w:eastAsia="黑体" w:cs="宋体"/>
          <w:b/>
          <w:kern w:val="0"/>
          <w:sz w:val="24"/>
          <w:szCs w:val="24"/>
        </w:rPr>
        <w:t>二十八</w:t>
      </w:r>
      <w:r>
        <w:rPr>
          <w:rFonts w:ascii="黑体" w:hAnsi="黑体" w:eastAsia="黑体" w:cs="宋体"/>
          <w:b/>
          <w:kern w:val="0"/>
          <w:sz w:val="24"/>
          <w:szCs w:val="24"/>
        </w:rPr>
        <w:t>条</w:t>
      </w:r>
      <w:r>
        <w:rPr>
          <w:rFonts w:ascii="Calibri" w:hAnsi="Calibri" w:eastAsia="黑体" w:cs="Calibri"/>
          <w:kern w:val="0"/>
          <w:sz w:val="24"/>
          <w:szCs w:val="24"/>
        </w:rPr>
        <w:t> </w:t>
      </w:r>
      <w:r>
        <w:rPr>
          <w:rFonts w:ascii="黑体" w:hAnsi="黑体" w:eastAsia="黑体" w:cs="宋体"/>
          <w:kern w:val="0"/>
          <w:sz w:val="24"/>
          <w:szCs w:val="24"/>
        </w:rPr>
        <w:t>获得留学单位出具的</w:t>
      </w:r>
      <w:r>
        <w:rPr>
          <w:rFonts w:hint="eastAsia" w:ascii="黑体" w:hAnsi="黑体" w:eastAsia="黑体" w:cs="宋体"/>
          <w:kern w:val="0"/>
          <w:sz w:val="24"/>
          <w:szCs w:val="24"/>
        </w:rPr>
        <w:t>无条件</w:t>
      </w:r>
      <w:r>
        <w:rPr>
          <w:rFonts w:ascii="黑体" w:hAnsi="黑体" w:eastAsia="黑体" w:cs="宋体"/>
          <w:kern w:val="0"/>
          <w:sz w:val="24"/>
          <w:szCs w:val="24"/>
        </w:rPr>
        <w:t>正式邀请信或录取通知书。</w:t>
      </w:r>
    </w:p>
    <w:p w14:paraId="6B17B395">
      <w:pPr>
        <w:widowControl/>
        <w:shd w:val="clear" w:color="auto" w:fill="FFFFFF"/>
        <w:adjustRightInd w:val="0"/>
        <w:snapToGrid w:val="0"/>
        <w:spacing w:before="156" w:beforeLines="50"/>
        <w:ind w:firstLine="482" w:firstLineChars="200"/>
        <w:contextualSpacing/>
        <w:rPr>
          <w:rFonts w:ascii="黑体" w:hAnsi="黑体" w:eastAsia="黑体" w:cs="宋体"/>
          <w:kern w:val="0"/>
          <w:sz w:val="24"/>
          <w:szCs w:val="24"/>
        </w:rPr>
      </w:pPr>
      <w:r>
        <w:rPr>
          <w:rFonts w:ascii="黑体" w:hAnsi="黑体" w:eastAsia="黑体" w:cs="宋体"/>
          <w:b/>
          <w:kern w:val="0"/>
          <w:sz w:val="24"/>
          <w:szCs w:val="24"/>
        </w:rPr>
        <w:t>第</w:t>
      </w:r>
      <w:r>
        <w:rPr>
          <w:rFonts w:hint="eastAsia" w:ascii="黑体" w:hAnsi="黑体" w:eastAsia="黑体" w:cs="宋体"/>
          <w:b/>
          <w:kern w:val="0"/>
          <w:sz w:val="24"/>
          <w:szCs w:val="24"/>
        </w:rPr>
        <w:t>二十九</w:t>
      </w:r>
      <w:r>
        <w:rPr>
          <w:rFonts w:ascii="黑体" w:hAnsi="黑体" w:eastAsia="黑体" w:cs="宋体"/>
          <w:b/>
          <w:kern w:val="0"/>
          <w:sz w:val="24"/>
          <w:szCs w:val="24"/>
        </w:rPr>
        <w:t>条</w:t>
      </w:r>
      <w:r>
        <w:rPr>
          <w:rFonts w:ascii="Calibri" w:hAnsi="Calibri" w:eastAsia="黑体" w:cs="Calibri"/>
          <w:kern w:val="0"/>
          <w:sz w:val="24"/>
          <w:szCs w:val="24"/>
        </w:rPr>
        <w:t> </w:t>
      </w:r>
      <w:r>
        <w:rPr>
          <w:rFonts w:hint="eastAsia" w:ascii="黑体" w:hAnsi="黑体" w:eastAsia="黑体" w:cs="宋体"/>
          <w:kern w:val="0"/>
          <w:sz w:val="24"/>
          <w:szCs w:val="24"/>
        </w:rPr>
        <w:t>符合国家公派出国留学外语合格条件</w:t>
      </w:r>
      <w:r>
        <w:rPr>
          <w:rFonts w:ascii="黑体" w:hAnsi="黑体" w:eastAsia="黑体" w:cs="宋体"/>
          <w:kern w:val="0"/>
          <w:sz w:val="24"/>
          <w:szCs w:val="24"/>
        </w:rPr>
        <w:t>。</w:t>
      </w:r>
    </w:p>
    <w:p w14:paraId="5E34CF44">
      <w:pPr>
        <w:widowControl/>
        <w:shd w:val="clear" w:color="auto" w:fill="FFFFFF"/>
        <w:adjustRightInd w:val="0"/>
        <w:snapToGrid w:val="0"/>
        <w:spacing w:before="156" w:beforeLines="50"/>
        <w:ind w:firstLine="482" w:firstLineChars="200"/>
        <w:contextualSpacing/>
        <w:rPr>
          <w:rFonts w:ascii="黑体" w:hAnsi="黑体" w:eastAsia="黑体" w:cs="宋体"/>
          <w:kern w:val="0"/>
          <w:sz w:val="24"/>
          <w:szCs w:val="24"/>
        </w:rPr>
      </w:pPr>
      <w:r>
        <w:rPr>
          <w:rFonts w:ascii="黑体" w:hAnsi="黑体" w:eastAsia="黑体" w:cs="宋体"/>
          <w:b/>
          <w:kern w:val="0"/>
          <w:sz w:val="24"/>
          <w:szCs w:val="24"/>
        </w:rPr>
        <w:t>第三十条</w:t>
      </w:r>
      <w:r>
        <w:rPr>
          <w:rFonts w:ascii="Helvetica" w:hAnsi="Helvetica" w:cs="Helvetica"/>
          <w:color w:val="000000"/>
        </w:rPr>
        <w:t>  </w:t>
      </w:r>
      <w:r>
        <w:rPr>
          <w:rFonts w:ascii="黑体" w:hAnsi="黑体" w:eastAsia="黑体" w:cs="宋体"/>
          <w:kern w:val="0"/>
          <w:sz w:val="24"/>
          <w:szCs w:val="24"/>
        </w:rPr>
        <w:t>各选派类别要求：</w:t>
      </w:r>
    </w:p>
    <w:p w14:paraId="4F2E7FED">
      <w:pPr>
        <w:widowControl/>
        <w:shd w:val="clear" w:color="auto" w:fill="FFFFFF"/>
        <w:adjustRightInd w:val="0"/>
        <w:snapToGrid w:val="0"/>
        <w:spacing w:before="156" w:beforeLines="50"/>
        <w:ind w:firstLine="480" w:firstLineChars="200"/>
        <w:contextualSpacing/>
        <w:rPr>
          <w:rFonts w:ascii="黑体" w:hAnsi="黑体" w:eastAsia="黑体" w:cs="宋体"/>
          <w:kern w:val="0"/>
          <w:sz w:val="24"/>
          <w:szCs w:val="24"/>
        </w:rPr>
      </w:pPr>
      <w:r>
        <w:rPr>
          <w:rFonts w:ascii="黑体" w:hAnsi="黑体" w:eastAsia="黑体" w:cs="宋体"/>
          <w:kern w:val="0"/>
          <w:sz w:val="24"/>
          <w:szCs w:val="24"/>
        </w:rPr>
        <w:t>1.高级研究学者：留学期限为3-6个月。</w:t>
      </w:r>
      <w:r>
        <w:rPr>
          <w:rFonts w:hint="eastAsia" w:ascii="黑体" w:hAnsi="黑体" w:eastAsia="黑体" w:cs="宋体"/>
          <w:kern w:val="0"/>
          <w:sz w:val="24"/>
          <w:szCs w:val="24"/>
        </w:rPr>
        <w:t>年龄不超过60周岁（</w:t>
      </w:r>
      <w:r>
        <w:rPr>
          <w:rFonts w:hint="eastAsia" w:ascii="黑体" w:hAnsi="黑体" w:eastAsia="黑体" w:cs="Arial"/>
          <w:kern w:val="0"/>
          <w:sz w:val="24"/>
          <w:szCs w:val="24"/>
        </w:rPr>
        <w:t>196</w:t>
      </w:r>
      <w:r>
        <w:rPr>
          <w:rFonts w:ascii="黑体" w:hAnsi="黑体" w:eastAsia="黑体" w:cs="Arial"/>
          <w:kern w:val="0"/>
          <w:sz w:val="24"/>
          <w:szCs w:val="24"/>
        </w:rPr>
        <w:t>5</w:t>
      </w:r>
      <w:r>
        <w:rPr>
          <w:rFonts w:hint="eastAsia" w:ascii="黑体" w:hAnsi="黑体" w:eastAsia="黑体" w:cs="宋体"/>
          <w:kern w:val="0"/>
          <w:sz w:val="24"/>
          <w:szCs w:val="24"/>
        </w:rPr>
        <w:t>年1月1日以后出生），在实际工作中取得突出业绩。其中，教学科研人员应具有正高级专业技术职称或为博士生导师，申请时应为“双一流”建设学科主要负责人、或国家级重点教学或科研项目主要负责人、或部级（含）以上教学或科研平台主要负责人、或部级（含）以上教学或科研奖励一等奖获得者等；行政管理人员应具有副司局级（含）以上行政职务。</w:t>
      </w:r>
    </w:p>
    <w:p w14:paraId="76B97D98">
      <w:pPr>
        <w:widowControl/>
        <w:shd w:val="clear" w:color="auto" w:fill="FFFFFF"/>
        <w:adjustRightInd w:val="0"/>
        <w:snapToGrid w:val="0"/>
        <w:spacing w:before="156" w:beforeLines="50"/>
        <w:ind w:firstLine="480" w:firstLineChars="200"/>
        <w:contextualSpacing/>
        <w:rPr>
          <w:rFonts w:ascii="黑体" w:hAnsi="黑体" w:eastAsia="黑体" w:cs="宋体"/>
          <w:kern w:val="0"/>
          <w:sz w:val="24"/>
          <w:szCs w:val="24"/>
        </w:rPr>
      </w:pPr>
      <w:r>
        <w:rPr>
          <w:rFonts w:ascii="黑体" w:hAnsi="黑体" w:eastAsia="黑体" w:cs="宋体"/>
          <w:kern w:val="0"/>
          <w:sz w:val="24"/>
          <w:szCs w:val="24"/>
        </w:rPr>
        <w:t>2.访问学者：留学期限为3-12个月。年龄不超过50</w:t>
      </w:r>
      <w:r>
        <w:rPr>
          <w:rFonts w:hint="eastAsia" w:ascii="黑体" w:hAnsi="黑体" w:eastAsia="黑体" w:cs="宋体"/>
          <w:kern w:val="0"/>
          <w:sz w:val="24"/>
          <w:szCs w:val="24"/>
        </w:rPr>
        <w:t>周</w:t>
      </w:r>
      <w:r>
        <w:rPr>
          <w:rFonts w:ascii="黑体" w:hAnsi="黑体" w:eastAsia="黑体" w:cs="宋体"/>
          <w:kern w:val="0"/>
          <w:sz w:val="24"/>
          <w:szCs w:val="24"/>
        </w:rPr>
        <w:t>岁（</w:t>
      </w:r>
      <w:r>
        <w:rPr>
          <w:rFonts w:hint="eastAsia" w:ascii="黑体" w:hAnsi="黑体" w:eastAsia="黑体" w:cs="Arial"/>
          <w:kern w:val="0"/>
          <w:sz w:val="24"/>
          <w:szCs w:val="24"/>
        </w:rPr>
        <w:t>197</w:t>
      </w:r>
      <w:r>
        <w:rPr>
          <w:rFonts w:ascii="黑体" w:hAnsi="黑体" w:eastAsia="黑体" w:cs="Arial"/>
          <w:kern w:val="0"/>
          <w:sz w:val="24"/>
          <w:szCs w:val="24"/>
        </w:rPr>
        <w:t>5</w:t>
      </w:r>
      <w:r>
        <w:rPr>
          <w:rFonts w:ascii="黑体" w:hAnsi="黑体" w:eastAsia="黑体" w:cs="宋体"/>
          <w:kern w:val="0"/>
          <w:sz w:val="24"/>
          <w:szCs w:val="24"/>
        </w:rPr>
        <w:t>年1月1日以后出生），本科毕业后一般应有5年以上的工作经历，硕士毕业后一般应有2年以上的工作经历。对博士毕业的申请人，无工作年限的要求。</w:t>
      </w:r>
    </w:p>
    <w:p w14:paraId="0CD42EB7">
      <w:pPr>
        <w:widowControl/>
        <w:shd w:val="clear" w:color="auto" w:fill="FFFFFF"/>
        <w:adjustRightInd w:val="0"/>
        <w:snapToGrid w:val="0"/>
        <w:spacing w:before="156" w:beforeLines="50"/>
        <w:ind w:firstLine="480" w:firstLineChars="200"/>
        <w:contextualSpacing/>
        <w:rPr>
          <w:rFonts w:ascii="黑体" w:hAnsi="黑体" w:eastAsia="黑体" w:cs="宋体"/>
          <w:kern w:val="0"/>
          <w:sz w:val="24"/>
          <w:szCs w:val="24"/>
        </w:rPr>
      </w:pPr>
      <w:r>
        <w:rPr>
          <w:rFonts w:ascii="黑体" w:hAnsi="黑体" w:eastAsia="黑体" w:cs="宋体"/>
          <w:kern w:val="0"/>
          <w:sz w:val="24"/>
          <w:szCs w:val="24"/>
        </w:rPr>
        <w:t>3.博士后：留学期限为6-24个月。年龄不超过40</w:t>
      </w:r>
      <w:r>
        <w:rPr>
          <w:rFonts w:hint="eastAsia" w:ascii="黑体" w:hAnsi="黑体" w:eastAsia="黑体" w:cs="宋体"/>
          <w:kern w:val="0"/>
          <w:sz w:val="24"/>
          <w:szCs w:val="24"/>
        </w:rPr>
        <w:t>周</w:t>
      </w:r>
      <w:r>
        <w:rPr>
          <w:rFonts w:ascii="黑体" w:hAnsi="黑体" w:eastAsia="黑体" w:cs="宋体"/>
          <w:kern w:val="0"/>
          <w:sz w:val="24"/>
          <w:szCs w:val="24"/>
        </w:rPr>
        <w:t>岁（</w:t>
      </w:r>
      <w:r>
        <w:rPr>
          <w:rFonts w:hint="eastAsia" w:ascii="黑体" w:hAnsi="黑体" w:eastAsia="黑体" w:cs="宋体"/>
          <w:kern w:val="0"/>
          <w:sz w:val="24"/>
          <w:szCs w:val="24"/>
        </w:rPr>
        <w:t>198</w:t>
      </w:r>
      <w:r>
        <w:rPr>
          <w:rFonts w:ascii="黑体" w:hAnsi="黑体" w:eastAsia="黑体" w:cs="宋体"/>
          <w:kern w:val="0"/>
          <w:sz w:val="24"/>
          <w:szCs w:val="24"/>
        </w:rPr>
        <w:t>5年1月1日以后出生），</w:t>
      </w:r>
      <w:bookmarkStart w:id="1" w:name="_Hlk180420019"/>
      <w:r>
        <w:rPr>
          <w:rFonts w:hint="eastAsia" w:ascii="黑体" w:hAnsi="黑体" w:eastAsia="黑体" w:cs="宋体"/>
          <w:kern w:val="0"/>
          <w:sz w:val="24"/>
          <w:szCs w:val="24"/>
        </w:rPr>
        <w:t>须为国内高等院校、科研机构的应届博士毕业生（202</w:t>
      </w:r>
      <w:r>
        <w:rPr>
          <w:rFonts w:ascii="黑体" w:hAnsi="黑体" w:eastAsia="黑体" w:cs="宋体"/>
          <w:kern w:val="0"/>
          <w:sz w:val="24"/>
          <w:szCs w:val="24"/>
        </w:rPr>
        <w:t>5</w:t>
      </w:r>
      <w:r>
        <w:rPr>
          <w:rFonts w:hint="eastAsia" w:ascii="黑体" w:hAnsi="黑体" w:eastAsia="黑体" w:cs="宋体"/>
          <w:kern w:val="0"/>
          <w:sz w:val="24"/>
          <w:szCs w:val="24"/>
        </w:rPr>
        <w:t>年7月1日至202</w:t>
      </w:r>
      <w:r>
        <w:rPr>
          <w:rFonts w:ascii="黑体" w:hAnsi="黑体" w:eastAsia="黑体" w:cs="宋体"/>
          <w:kern w:val="0"/>
          <w:sz w:val="24"/>
          <w:szCs w:val="24"/>
        </w:rPr>
        <w:t>6</w:t>
      </w:r>
      <w:r>
        <w:rPr>
          <w:rFonts w:hint="eastAsia" w:ascii="黑体" w:hAnsi="黑体" w:eastAsia="黑体" w:cs="宋体"/>
          <w:kern w:val="0"/>
          <w:sz w:val="24"/>
          <w:szCs w:val="24"/>
        </w:rPr>
        <w:t>年6月30日期间毕业取得博士学位）、或在站博士后研究人员、或在职青年科研人员。其中，应届博士毕业生通过博士培养单位推荐，派出前应确保获得博士学位；在站博士后研究人员通过设站单位推荐，应确保完成国外学业回国后方可出站；在职青年教学科研人员通过工作单位推荐。</w:t>
      </w:r>
      <w:bookmarkEnd w:id="1"/>
    </w:p>
    <w:p w14:paraId="660FEED6">
      <w:pPr>
        <w:widowControl/>
        <w:shd w:val="clear" w:color="auto" w:fill="FFFFFF"/>
        <w:adjustRightInd w:val="0"/>
        <w:snapToGrid w:val="0"/>
        <w:spacing w:before="156" w:beforeLines="50"/>
        <w:ind w:firstLine="480" w:firstLineChars="200"/>
        <w:contextualSpacing/>
        <w:rPr>
          <w:rFonts w:ascii="黑体" w:hAnsi="黑体" w:eastAsia="黑体" w:cs="宋体"/>
          <w:kern w:val="0"/>
          <w:sz w:val="24"/>
          <w:szCs w:val="24"/>
        </w:rPr>
      </w:pPr>
      <w:r>
        <w:rPr>
          <w:rFonts w:ascii="黑体" w:hAnsi="黑体" w:eastAsia="黑体" w:cs="宋体"/>
          <w:kern w:val="0"/>
          <w:sz w:val="24"/>
          <w:szCs w:val="24"/>
        </w:rPr>
        <w:t>4.赴国外攻读博士学位研究生：</w:t>
      </w:r>
    </w:p>
    <w:p w14:paraId="3787CB56">
      <w:pPr>
        <w:widowControl/>
        <w:shd w:val="clear" w:color="auto" w:fill="FFFFFF"/>
        <w:adjustRightInd w:val="0"/>
        <w:snapToGrid w:val="0"/>
        <w:spacing w:before="156" w:beforeLines="50"/>
        <w:ind w:firstLine="480" w:firstLineChars="200"/>
        <w:contextualSpacing/>
        <w:rPr>
          <w:rFonts w:ascii="黑体" w:hAnsi="黑体" w:eastAsia="黑体" w:cs="宋体"/>
          <w:kern w:val="0"/>
          <w:sz w:val="24"/>
          <w:szCs w:val="24"/>
        </w:rPr>
      </w:pPr>
      <w:r>
        <w:rPr>
          <w:rFonts w:ascii="黑体" w:hAnsi="黑体" w:eastAsia="黑体" w:cs="宋体"/>
          <w:kern w:val="0"/>
          <w:sz w:val="24"/>
          <w:szCs w:val="24"/>
        </w:rPr>
        <w:t>（</w:t>
      </w:r>
      <w:r>
        <w:rPr>
          <w:rFonts w:hint="eastAsia" w:ascii="黑体" w:hAnsi="黑体" w:eastAsia="黑体" w:cs="宋体"/>
          <w:kern w:val="0"/>
          <w:sz w:val="24"/>
          <w:szCs w:val="24"/>
        </w:rPr>
        <w:t>1</w:t>
      </w:r>
      <w:r>
        <w:rPr>
          <w:rFonts w:ascii="黑体" w:hAnsi="黑体" w:eastAsia="黑体" w:cs="宋体"/>
          <w:kern w:val="0"/>
          <w:sz w:val="24"/>
          <w:szCs w:val="24"/>
        </w:rPr>
        <w:t>）留学期限一般为36-48个月，具体以留学目的国及院校学制或外方出具的录取通知书或邀请信为准。申请时年龄不超过</w:t>
      </w:r>
      <w:r>
        <w:rPr>
          <w:rFonts w:hint="eastAsia" w:ascii="黑体" w:hAnsi="黑体" w:eastAsia="黑体" w:cs="宋体"/>
          <w:bCs/>
          <w:color w:val="000000" w:themeColor="text1"/>
          <w:kern w:val="0"/>
          <w:sz w:val="24"/>
          <w:szCs w:val="24"/>
          <w14:textFill>
            <w14:solidFill>
              <w14:schemeClr w14:val="tx1"/>
            </w14:solidFill>
          </w14:textFill>
        </w:rPr>
        <w:t>3</w:t>
      </w:r>
      <w:r>
        <w:rPr>
          <w:rFonts w:ascii="黑体" w:hAnsi="黑体" w:eastAsia="黑体" w:cs="宋体"/>
          <w:bCs/>
          <w:color w:val="000000" w:themeColor="text1"/>
          <w:kern w:val="0"/>
          <w:sz w:val="24"/>
          <w:szCs w:val="24"/>
          <w14:textFill>
            <w14:solidFill>
              <w14:schemeClr w14:val="tx1"/>
            </w14:solidFill>
          </w14:textFill>
        </w:rPr>
        <w:t>5</w:t>
      </w:r>
      <w:r>
        <w:rPr>
          <w:rFonts w:hint="eastAsia" w:ascii="黑体" w:hAnsi="黑体" w:eastAsia="黑体" w:cs="宋体"/>
          <w:kern w:val="0"/>
          <w:sz w:val="24"/>
          <w:szCs w:val="24"/>
        </w:rPr>
        <w:t>周</w:t>
      </w:r>
      <w:r>
        <w:rPr>
          <w:rFonts w:ascii="黑体" w:hAnsi="黑体" w:eastAsia="黑体" w:cs="宋体"/>
          <w:kern w:val="0"/>
          <w:sz w:val="24"/>
          <w:szCs w:val="24"/>
        </w:rPr>
        <w:t>岁（</w:t>
      </w:r>
      <w:r>
        <w:rPr>
          <w:rFonts w:hint="eastAsia" w:ascii="黑体" w:hAnsi="黑体" w:eastAsia="黑体" w:cs="宋体"/>
          <w:kern w:val="0"/>
          <w:sz w:val="24"/>
          <w:szCs w:val="24"/>
        </w:rPr>
        <w:t>19</w:t>
      </w:r>
      <w:r>
        <w:rPr>
          <w:rFonts w:ascii="黑体" w:hAnsi="黑体" w:eastAsia="黑体" w:cs="宋体"/>
          <w:kern w:val="0"/>
          <w:sz w:val="24"/>
          <w:szCs w:val="24"/>
        </w:rPr>
        <w:t>90年1月1日以后出生）。</w:t>
      </w:r>
    </w:p>
    <w:p w14:paraId="7CE77563">
      <w:pPr>
        <w:widowControl/>
        <w:shd w:val="clear" w:color="auto" w:fill="FFFFFF"/>
        <w:adjustRightInd w:val="0"/>
        <w:snapToGrid w:val="0"/>
        <w:spacing w:before="156" w:beforeLines="50"/>
        <w:ind w:firstLine="480" w:firstLineChars="200"/>
        <w:contextualSpacing/>
        <w:rPr>
          <w:rFonts w:ascii="黑体" w:hAnsi="黑体" w:eastAsia="黑体" w:cs="宋体"/>
          <w:kern w:val="0"/>
          <w:sz w:val="24"/>
          <w:szCs w:val="24"/>
        </w:rPr>
      </w:pPr>
      <w:r>
        <w:rPr>
          <w:rFonts w:ascii="黑体" w:hAnsi="黑体" w:eastAsia="黑体" w:cs="宋体"/>
          <w:kern w:val="0"/>
          <w:sz w:val="24"/>
          <w:szCs w:val="24"/>
        </w:rPr>
        <w:t>（</w:t>
      </w:r>
      <w:r>
        <w:rPr>
          <w:rFonts w:hint="eastAsia" w:ascii="黑体" w:hAnsi="黑体" w:eastAsia="黑体" w:cs="宋体"/>
          <w:kern w:val="0"/>
          <w:sz w:val="24"/>
          <w:szCs w:val="24"/>
        </w:rPr>
        <w:t>2</w:t>
      </w:r>
      <w:r>
        <w:rPr>
          <w:rFonts w:ascii="黑体" w:hAnsi="黑体" w:eastAsia="黑体" w:cs="宋体"/>
          <w:kern w:val="0"/>
          <w:sz w:val="24"/>
          <w:szCs w:val="24"/>
        </w:rPr>
        <w:t>）国内高校或科研机构优秀应届本科、硕士毕业生。相关单位可根据学校实际情况推荐在读博士一年级学生申报。</w:t>
      </w:r>
      <w:r>
        <w:rPr>
          <w:rFonts w:hint="eastAsia" w:ascii="黑体" w:hAnsi="黑体" w:eastAsia="黑体" w:cs="宋体"/>
          <w:kern w:val="0"/>
          <w:sz w:val="24"/>
          <w:szCs w:val="24"/>
        </w:rPr>
        <w:t>申请人应具备扎实的专业基础，较强的学习、研究及工作能力和交流能力，综合素质良好，学习成绩优异或工作业绩突出，具有较强的发展潜力。</w:t>
      </w:r>
      <w:r>
        <w:rPr>
          <w:rFonts w:ascii="黑体" w:hAnsi="黑体" w:eastAsia="黑体" w:cs="宋体"/>
          <w:kern w:val="0"/>
          <w:sz w:val="24"/>
          <w:szCs w:val="24"/>
        </w:rPr>
        <w:t>应届硕士毕业生、在读博士</w:t>
      </w:r>
      <w:r>
        <w:rPr>
          <w:rFonts w:hint="eastAsia" w:ascii="黑体" w:hAnsi="黑体" w:eastAsia="黑体" w:cs="宋体"/>
          <w:kern w:val="0"/>
          <w:sz w:val="24"/>
          <w:szCs w:val="24"/>
        </w:rPr>
        <w:t>研究</w:t>
      </w:r>
      <w:r>
        <w:rPr>
          <w:rFonts w:ascii="黑体" w:hAnsi="黑体" w:eastAsia="黑体" w:cs="宋体"/>
          <w:kern w:val="0"/>
          <w:sz w:val="24"/>
          <w:szCs w:val="24"/>
        </w:rPr>
        <w:t>生应具备一定的</w:t>
      </w:r>
      <w:r>
        <w:rPr>
          <w:rFonts w:hint="eastAsia" w:ascii="黑体" w:hAnsi="黑体" w:eastAsia="黑体" w:cs="宋体"/>
          <w:kern w:val="0"/>
          <w:sz w:val="24"/>
          <w:szCs w:val="24"/>
        </w:rPr>
        <w:t>研究</w:t>
      </w:r>
      <w:r>
        <w:rPr>
          <w:rFonts w:ascii="黑体" w:hAnsi="黑体" w:eastAsia="黑体" w:cs="宋体"/>
          <w:kern w:val="0"/>
          <w:sz w:val="24"/>
          <w:szCs w:val="24"/>
        </w:rPr>
        <w:t>能力，应届本科毕业生应达到校内免试直升研究生水平。</w:t>
      </w:r>
    </w:p>
    <w:p w14:paraId="6AE65245">
      <w:pPr>
        <w:widowControl/>
        <w:shd w:val="clear" w:color="auto" w:fill="FFFFFF"/>
        <w:adjustRightInd w:val="0"/>
        <w:snapToGrid w:val="0"/>
        <w:spacing w:before="156" w:beforeLines="50"/>
        <w:ind w:firstLine="480" w:firstLineChars="200"/>
        <w:contextualSpacing/>
        <w:rPr>
          <w:rFonts w:ascii="黑体" w:hAnsi="黑体" w:eastAsia="黑体" w:cs="宋体"/>
          <w:kern w:val="0"/>
          <w:sz w:val="24"/>
          <w:szCs w:val="24"/>
        </w:rPr>
      </w:pPr>
      <w:r>
        <w:rPr>
          <w:rFonts w:ascii="黑体" w:hAnsi="黑体" w:eastAsia="黑体" w:cs="宋体"/>
          <w:kern w:val="0"/>
          <w:sz w:val="24"/>
          <w:szCs w:val="24"/>
        </w:rPr>
        <w:t>（</w:t>
      </w:r>
      <w:r>
        <w:rPr>
          <w:rFonts w:hint="eastAsia" w:ascii="黑体" w:hAnsi="黑体" w:eastAsia="黑体" w:cs="宋体"/>
          <w:kern w:val="0"/>
          <w:sz w:val="24"/>
          <w:szCs w:val="24"/>
        </w:rPr>
        <w:t>3</w:t>
      </w:r>
      <w:r>
        <w:rPr>
          <w:rFonts w:ascii="黑体" w:hAnsi="黑体" w:eastAsia="黑体" w:cs="宋体"/>
          <w:kern w:val="0"/>
          <w:sz w:val="24"/>
          <w:szCs w:val="24"/>
        </w:rPr>
        <w:t>）中央国家机关及有关单位正式工作人员、国内高校在职教师。应具有学士及以上学位，在相应工作岗位取得较突出成绩、具有较强的</w:t>
      </w:r>
      <w:r>
        <w:rPr>
          <w:rFonts w:hint="eastAsia" w:ascii="黑体" w:hAnsi="黑体" w:eastAsia="黑体" w:cs="宋体"/>
          <w:kern w:val="0"/>
          <w:sz w:val="24"/>
          <w:szCs w:val="24"/>
        </w:rPr>
        <w:t>研究</w:t>
      </w:r>
      <w:r>
        <w:rPr>
          <w:rFonts w:ascii="黑体" w:hAnsi="黑体" w:eastAsia="黑体" w:cs="宋体"/>
          <w:kern w:val="0"/>
          <w:sz w:val="24"/>
          <w:szCs w:val="24"/>
        </w:rPr>
        <w:t>能力。</w:t>
      </w:r>
    </w:p>
    <w:p w14:paraId="2265959B">
      <w:pPr>
        <w:widowControl/>
        <w:shd w:val="clear" w:color="auto" w:fill="FFFFFF"/>
        <w:adjustRightInd w:val="0"/>
        <w:snapToGrid w:val="0"/>
        <w:spacing w:before="156" w:beforeLines="50"/>
        <w:ind w:firstLine="480" w:firstLineChars="200"/>
        <w:contextualSpacing/>
        <w:rPr>
          <w:rFonts w:ascii="黑体" w:hAnsi="黑体" w:eastAsia="黑体" w:cs="宋体"/>
          <w:kern w:val="0"/>
          <w:sz w:val="24"/>
          <w:szCs w:val="24"/>
        </w:rPr>
      </w:pPr>
      <w:r>
        <w:rPr>
          <w:rFonts w:ascii="黑体" w:hAnsi="黑体" w:eastAsia="黑体" w:cs="宋体"/>
          <w:kern w:val="0"/>
          <w:sz w:val="24"/>
          <w:szCs w:val="24"/>
        </w:rPr>
        <w:t>（</w:t>
      </w:r>
      <w:r>
        <w:rPr>
          <w:rFonts w:hint="eastAsia" w:ascii="黑体" w:hAnsi="黑体" w:eastAsia="黑体" w:cs="宋体"/>
          <w:kern w:val="0"/>
          <w:sz w:val="24"/>
          <w:szCs w:val="24"/>
        </w:rPr>
        <w:t>4</w:t>
      </w:r>
      <w:r>
        <w:rPr>
          <w:rFonts w:ascii="黑体" w:hAnsi="黑体" w:eastAsia="黑体" w:cs="宋体"/>
          <w:kern w:val="0"/>
          <w:sz w:val="24"/>
          <w:szCs w:val="24"/>
        </w:rPr>
        <w:t>）国外高校或科研机构正式注册的国家公派或自费留学应届硕士毕业生（已毕业离校的学生除外）、自费留学攻读博士学位第一年的学生。须已获国内用人单位录用。</w:t>
      </w:r>
    </w:p>
    <w:p w14:paraId="1F119F52">
      <w:pPr>
        <w:widowControl/>
        <w:shd w:val="clear" w:color="auto" w:fill="FFFFFF"/>
        <w:adjustRightInd w:val="0"/>
        <w:snapToGrid w:val="0"/>
        <w:spacing w:before="156" w:beforeLines="50"/>
        <w:ind w:firstLine="480" w:firstLineChars="200"/>
        <w:contextualSpacing/>
        <w:rPr>
          <w:rFonts w:ascii="黑体" w:hAnsi="黑体" w:eastAsia="黑体" w:cs="宋体"/>
          <w:kern w:val="0"/>
          <w:sz w:val="24"/>
          <w:szCs w:val="24"/>
        </w:rPr>
      </w:pPr>
      <w:r>
        <w:rPr>
          <w:rFonts w:ascii="黑体" w:hAnsi="黑体" w:eastAsia="黑体" w:cs="宋体"/>
          <w:kern w:val="0"/>
          <w:sz w:val="24"/>
          <w:szCs w:val="24"/>
        </w:rPr>
        <w:t>5.联合培养博士</w:t>
      </w:r>
      <w:r>
        <w:rPr>
          <w:rFonts w:hint="eastAsia" w:ascii="黑体" w:hAnsi="黑体" w:eastAsia="黑体" w:cs="宋体"/>
          <w:kern w:val="0"/>
          <w:sz w:val="24"/>
          <w:szCs w:val="24"/>
        </w:rPr>
        <w:t>研究</w:t>
      </w:r>
      <w:r>
        <w:rPr>
          <w:rFonts w:ascii="黑体" w:hAnsi="黑体" w:eastAsia="黑体" w:cs="宋体"/>
          <w:kern w:val="0"/>
          <w:sz w:val="24"/>
          <w:szCs w:val="24"/>
        </w:rPr>
        <w:t>生：留学期限为6-24个月。国内全日制优秀在读博士研究生。申请时年龄不超过35</w:t>
      </w:r>
      <w:r>
        <w:rPr>
          <w:rFonts w:hint="eastAsia" w:ascii="黑体" w:hAnsi="黑体" w:eastAsia="黑体" w:cs="宋体"/>
          <w:kern w:val="0"/>
          <w:sz w:val="24"/>
          <w:szCs w:val="24"/>
        </w:rPr>
        <w:t>周</w:t>
      </w:r>
      <w:r>
        <w:rPr>
          <w:rFonts w:ascii="黑体" w:hAnsi="黑体" w:eastAsia="黑体" w:cs="宋体"/>
          <w:kern w:val="0"/>
          <w:sz w:val="24"/>
          <w:szCs w:val="24"/>
        </w:rPr>
        <w:t>岁（</w:t>
      </w:r>
      <w:r>
        <w:rPr>
          <w:rFonts w:hint="eastAsia" w:ascii="黑体" w:hAnsi="黑体" w:eastAsia="黑体" w:cs="宋体"/>
          <w:kern w:val="0"/>
          <w:sz w:val="24"/>
          <w:szCs w:val="24"/>
        </w:rPr>
        <w:t>19</w:t>
      </w:r>
      <w:r>
        <w:rPr>
          <w:rFonts w:ascii="黑体" w:hAnsi="黑体" w:eastAsia="黑体" w:cs="宋体"/>
          <w:kern w:val="0"/>
          <w:sz w:val="24"/>
          <w:szCs w:val="24"/>
        </w:rPr>
        <w:t>90年1月1日以后出生）；申请时应提交国内外导师共同制定的联合培养计划。</w:t>
      </w:r>
    </w:p>
    <w:p w14:paraId="5F0CDF42">
      <w:pPr>
        <w:widowControl/>
        <w:shd w:val="clear" w:color="auto" w:fill="FFFFFF"/>
        <w:adjustRightInd w:val="0"/>
        <w:snapToGrid w:val="0"/>
        <w:spacing w:before="156" w:beforeLines="50"/>
        <w:ind w:firstLine="480" w:firstLineChars="200"/>
        <w:contextualSpacing/>
        <w:rPr>
          <w:rFonts w:ascii="黑体" w:hAnsi="黑体" w:eastAsia="黑体" w:cs="宋体"/>
          <w:kern w:val="0"/>
          <w:sz w:val="24"/>
          <w:szCs w:val="24"/>
        </w:rPr>
      </w:pPr>
      <w:r>
        <w:rPr>
          <w:rFonts w:ascii="黑体" w:hAnsi="黑体" w:eastAsia="黑体" w:cs="宋体"/>
          <w:kern w:val="0"/>
          <w:sz w:val="24"/>
          <w:szCs w:val="24"/>
        </w:rPr>
        <w:t>6.联合培养硕士</w:t>
      </w:r>
      <w:r>
        <w:rPr>
          <w:rFonts w:hint="eastAsia" w:ascii="黑体" w:hAnsi="黑体" w:eastAsia="黑体" w:cs="宋体"/>
          <w:kern w:val="0"/>
          <w:sz w:val="24"/>
          <w:szCs w:val="24"/>
        </w:rPr>
        <w:t>研究</w:t>
      </w:r>
      <w:r>
        <w:rPr>
          <w:rFonts w:ascii="黑体" w:hAnsi="黑体" w:eastAsia="黑体" w:cs="宋体"/>
          <w:kern w:val="0"/>
          <w:sz w:val="24"/>
          <w:szCs w:val="24"/>
        </w:rPr>
        <w:t>生：留学期限为3-12个月。国内高校全日制在读硕士研究生。申请时年龄不超过3</w:t>
      </w:r>
      <w:r>
        <w:rPr>
          <w:rFonts w:hint="eastAsia" w:ascii="黑体" w:hAnsi="黑体" w:eastAsia="黑体" w:cs="宋体"/>
          <w:kern w:val="0"/>
          <w:sz w:val="24"/>
          <w:szCs w:val="24"/>
        </w:rPr>
        <w:t>5周</w:t>
      </w:r>
      <w:r>
        <w:rPr>
          <w:rFonts w:ascii="黑体" w:hAnsi="黑体" w:eastAsia="黑体" w:cs="宋体"/>
          <w:kern w:val="0"/>
          <w:sz w:val="24"/>
          <w:szCs w:val="24"/>
        </w:rPr>
        <w:t>岁（</w:t>
      </w:r>
      <w:r>
        <w:rPr>
          <w:rFonts w:hint="eastAsia" w:ascii="黑体" w:hAnsi="黑体" w:eastAsia="黑体" w:cs="宋体"/>
          <w:kern w:val="0"/>
          <w:sz w:val="24"/>
          <w:szCs w:val="24"/>
        </w:rPr>
        <w:t>19</w:t>
      </w:r>
      <w:r>
        <w:rPr>
          <w:rFonts w:ascii="黑体" w:hAnsi="黑体" w:eastAsia="黑体" w:cs="宋体"/>
          <w:kern w:val="0"/>
          <w:sz w:val="24"/>
          <w:szCs w:val="24"/>
        </w:rPr>
        <w:t>90年1月1日以后出生</w:t>
      </w:r>
      <w:r>
        <w:rPr>
          <w:rFonts w:hint="eastAsia" w:ascii="黑体" w:hAnsi="黑体" w:eastAsia="黑体" w:cs="宋体"/>
          <w:kern w:val="0"/>
          <w:sz w:val="24"/>
          <w:szCs w:val="24"/>
        </w:rPr>
        <w:t>）</w:t>
      </w:r>
      <w:r>
        <w:rPr>
          <w:rFonts w:ascii="黑体" w:hAnsi="黑体" w:eastAsia="黑体" w:cs="宋体"/>
          <w:kern w:val="0"/>
          <w:sz w:val="24"/>
          <w:szCs w:val="24"/>
        </w:rPr>
        <w:t>。申请人应具备扎实的专业基础，较强的学习、研究能力和交流能力，综合素质良好，学习成绩优异，具有较强的发展潜力。申请时应提交中外双方联合制定的学习计划。</w:t>
      </w:r>
    </w:p>
    <w:p w14:paraId="1CEC5BCC">
      <w:pPr>
        <w:widowControl/>
        <w:shd w:val="clear" w:color="auto" w:fill="FFFFFF"/>
        <w:adjustRightInd w:val="0"/>
        <w:snapToGrid w:val="0"/>
        <w:spacing w:before="156" w:beforeLines="50"/>
        <w:ind w:firstLine="482" w:firstLineChars="200"/>
        <w:contextualSpacing/>
        <w:rPr>
          <w:rFonts w:ascii="黑体" w:hAnsi="黑体" w:eastAsia="黑体" w:cs="宋体"/>
          <w:kern w:val="0"/>
          <w:sz w:val="24"/>
          <w:szCs w:val="24"/>
        </w:rPr>
      </w:pPr>
      <w:r>
        <w:rPr>
          <w:rFonts w:ascii="黑体" w:hAnsi="黑体" w:eastAsia="黑体" w:cs="宋体"/>
          <w:b/>
          <w:kern w:val="0"/>
          <w:sz w:val="24"/>
          <w:szCs w:val="24"/>
        </w:rPr>
        <w:t>第三十</w:t>
      </w:r>
      <w:r>
        <w:rPr>
          <w:rFonts w:hint="eastAsia" w:ascii="黑体" w:hAnsi="黑体" w:eastAsia="黑体" w:cs="宋体"/>
          <w:b/>
          <w:kern w:val="0"/>
          <w:sz w:val="24"/>
          <w:szCs w:val="24"/>
        </w:rPr>
        <w:t>一</w:t>
      </w:r>
      <w:r>
        <w:rPr>
          <w:rFonts w:ascii="黑体" w:hAnsi="黑体" w:eastAsia="黑体" w:cs="宋体"/>
          <w:b/>
          <w:kern w:val="0"/>
          <w:sz w:val="24"/>
          <w:szCs w:val="24"/>
        </w:rPr>
        <w:t>条</w:t>
      </w:r>
      <w:r>
        <w:rPr>
          <w:rFonts w:ascii="Calibri" w:hAnsi="Calibri" w:eastAsia="黑体" w:cs="Calibri"/>
          <w:kern w:val="0"/>
          <w:sz w:val="24"/>
          <w:szCs w:val="24"/>
        </w:rPr>
        <w:t>  </w:t>
      </w:r>
      <w:r>
        <w:rPr>
          <w:rFonts w:hint="eastAsia" w:ascii="黑体" w:hAnsi="黑体" w:eastAsia="黑体" w:cs="宋体"/>
          <w:kern w:val="0"/>
          <w:sz w:val="24"/>
          <w:szCs w:val="24"/>
        </w:rPr>
        <w:t>本</w:t>
      </w:r>
      <w:r>
        <w:rPr>
          <w:rFonts w:ascii="黑体" w:hAnsi="黑体" w:eastAsia="黑体" w:cs="宋体"/>
          <w:kern w:val="0"/>
          <w:sz w:val="24"/>
          <w:szCs w:val="24"/>
        </w:rPr>
        <w:t>项目暂不受理以下人员的申请</w:t>
      </w:r>
    </w:p>
    <w:p w14:paraId="72CA291B">
      <w:pPr>
        <w:widowControl/>
        <w:shd w:val="clear" w:color="auto" w:fill="FFFFFF"/>
        <w:adjustRightInd w:val="0"/>
        <w:snapToGrid w:val="0"/>
        <w:spacing w:before="156" w:beforeLines="50"/>
        <w:ind w:firstLine="480" w:firstLineChars="200"/>
        <w:contextualSpacing/>
        <w:rPr>
          <w:rFonts w:ascii="黑体" w:hAnsi="黑体" w:eastAsia="黑体" w:cs="宋体"/>
          <w:kern w:val="0"/>
          <w:sz w:val="24"/>
          <w:szCs w:val="24"/>
        </w:rPr>
      </w:pPr>
      <w:r>
        <w:rPr>
          <w:rFonts w:ascii="黑体" w:hAnsi="黑体" w:eastAsia="黑体" w:cs="宋体"/>
          <w:kern w:val="0"/>
          <w:sz w:val="24"/>
          <w:szCs w:val="24"/>
        </w:rPr>
        <w:t>1.已获得国外全额奖学金资助。</w:t>
      </w:r>
    </w:p>
    <w:p w14:paraId="1370A56A">
      <w:pPr>
        <w:widowControl/>
        <w:shd w:val="clear" w:color="auto" w:fill="FFFFFF"/>
        <w:adjustRightInd w:val="0"/>
        <w:snapToGrid w:val="0"/>
        <w:spacing w:before="156" w:beforeLines="50"/>
        <w:ind w:firstLine="480" w:firstLineChars="200"/>
        <w:contextualSpacing/>
        <w:rPr>
          <w:rFonts w:ascii="黑体" w:hAnsi="黑体" w:eastAsia="黑体" w:cs="宋体"/>
          <w:kern w:val="0"/>
          <w:sz w:val="24"/>
          <w:szCs w:val="24"/>
        </w:rPr>
      </w:pPr>
      <w:r>
        <w:rPr>
          <w:rFonts w:ascii="黑体" w:hAnsi="黑体" w:eastAsia="黑体" w:cs="宋体"/>
          <w:kern w:val="0"/>
          <w:sz w:val="24"/>
          <w:szCs w:val="24"/>
        </w:rPr>
        <w:t>2.已获得国家公派留学资格且在有效期内。</w:t>
      </w:r>
    </w:p>
    <w:p w14:paraId="51C3A10F">
      <w:pPr>
        <w:widowControl/>
        <w:shd w:val="clear" w:color="auto" w:fill="FFFFFF"/>
        <w:adjustRightInd w:val="0"/>
        <w:snapToGrid w:val="0"/>
        <w:spacing w:before="156" w:beforeLines="50"/>
        <w:ind w:firstLine="480" w:firstLineChars="200"/>
        <w:contextualSpacing/>
        <w:rPr>
          <w:rFonts w:ascii="黑体" w:hAnsi="黑体" w:eastAsia="黑体" w:cs="宋体"/>
          <w:kern w:val="0"/>
          <w:sz w:val="24"/>
          <w:szCs w:val="24"/>
        </w:rPr>
      </w:pPr>
      <w:r>
        <w:rPr>
          <w:rFonts w:ascii="黑体" w:hAnsi="黑体" w:eastAsia="黑体" w:cs="宋体"/>
          <w:kern w:val="0"/>
          <w:sz w:val="24"/>
          <w:szCs w:val="24"/>
        </w:rPr>
        <w:t>3.已申报其他国家公派出国留学项目尚未公布录取结果。</w:t>
      </w:r>
    </w:p>
    <w:p w14:paraId="01AB04FE">
      <w:pPr>
        <w:widowControl/>
        <w:shd w:val="clear" w:color="auto" w:fill="FFFFFF"/>
        <w:adjustRightInd w:val="0"/>
        <w:snapToGrid w:val="0"/>
        <w:spacing w:before="156" w:beforeLines="50"/>
        <w:ind w:firstLine="480" w:firstLineChars="200"/>
        <w:contextualSpacing/>
        <w:rPr>
          <w:rFonts w:ascii="黑体" w:hAnsi="黑体" w:eastAsia="黑体" w:cs="宋体"/>
          <w:kern w:val="0"/>
          <w:sz w:val="24"/>
          <w:szCs w:val="24"/>
        </w:rPr>
      </w:pPr>
      <w:r>
        <w:rPr>
          <w:rFonts w:ascii="黑体" w:hAnsi="黑体" w:eastAsia="黑体" w:cs="宋体"/>
          <w:kern w:val="0"/>
          <w:sz w:val="24"/>
          <w:szCs w:val="24"/>
        </w:rPr>
        <w:t>4.曾获得国家公派出国留学资助资格，未经国家留学基金委批准擅自放弃，且自资格有效期到期之日起不满2年。</w:t>
      </w:r>
    </w:p>
    <w:p w14:paraId="3DD0248D">
      <w:pPr>
        <w:widowControl/>
        <w:shd w:val="clear" w:color="auto" w:fill="FFFFFF"/>
        <w:adjustRightInd w:val="0"/>
        <w:snapToGrid w:val="0"/>
        <w:spacing w:before="156" w:beforeLines="50"/>
        <w:ind w:firstLine="480" w:firstLineChars="200"/>
        <w:contextualSpacing/>
        <w:rPr>
          <w:rFonts w:ascii="黑体" w:hAnsi="黑体" w:eastAsia="黑体" w:cs="宋体"/>
          <w:kern w:val="0"/>
          <w:sz w:val="24"/>
          <w:szCs w:val="24"/>
        </w:rPr>
      </w:pPr>
      <w:r>
        <w:rPr>
          <w:rFonts w:ascii="黑体" w:hAnsi="黑体" w:eastAsia="黑体" w:cs="宋体"/>
          <w:kern w:val="0"/>
          <w:sz w:val="24"/>
          <w:szCs w:val="24"/>
        </w:rPr>
        <w:t>5.曾享受国家留学基金资助出国留学、回国后服务尚不满两年。</w:t>
      </w:r>
    </w:p>
    <w:p w14:paraId="45D7F9DA">
      <w:pPr>
        <w:widowControl/>
        <w:shd w:val="clear" w:color="auto" w:fill="FFFFFF"/>
        <w:adjustRightInd w:val="0"/>
        <w:snapToGrid w:val="0"/>
        <w:spacing w:before="156" w:beforeLines="50"/>
        <w:ind w:firstLine="480" w:firstLineChars="200"/>
        <w:contextualSpacing/>
        <w:rPr>
          <w:rFonts w:ascii="黑体" w:hAnsi="黑体" w:eastAsia="黑体" w:cs="宋体"/>
          <w:kern w:val="0"/>
          <w:sz w:val="24"/>
          <w:szCs w:val="24"/>
        </w:rPr>
      </w:pPr>
    </w:p>
    <w:p w14:paraId="7E08F66D">
      <w:pPr>
        <w:widowControl/>
        <w:shd w:val="clear" w:color="auto" w:fill="FFFFFF"/>
        <w:adjustRightInd w:val="0"/>
        <w:snapToGrid w:val="0"/>
        <w:spacing w:before="156" w:beforeLines="50" w:line="240" w:lineRule="atLeast"/>
        <w:contextualSpacing/>
        <w:jc w:val="center"/>
        <w:rPr>
          <w:rFonts w:ascii="黑体" w:hAnsi="黑体" w:eastAsia="黑体" w:cs="宋体"/>
          <w:b/>
          <w:bCs/>
          <w:kern w:val="0"/>
          <w:sz w:val="28"/>
          <w:szCs w:val="28"/>
        </w:rPr>
      </w:pPr>
      <w:r>
        <w:rPr>
          <w:rFonts w:ascii="黑体" w:hAnsi="黑体" w:eastAsia="黑体" w:cs="宋体"/>
          <w:b/>
          <w:bCs/>
          <w:kern w:val="0"/>
          <w:sz w:val="28"/>
          <w:szCs w:val="28"/>
        </w:rPr>
        <w:t>第六章</w:t>
      </w:r>
      <w:r>
        <w:rPr>
          <w:rFonts w:ascii="Calibri" w:hAnsi="Calibri" w:eastAsia="黑体" w:cs="Calibri"/>
          <w:b/>
          <w:bCs/>
          <w:kern w:val="0"/>
          <w:sz w:val="28"/>
          <w:szCs w:val="28"/>
        </w:rPr>
        <w:t>  </w:t>
      </w:r>
      <w:r>
        <w:rPr>
          <w:rFonts w:ascii="黑体" w:hAnsi="黑体" w:eastAsia="黑体" w:cs="宋体"/>
          <w:b/>
          <w:bCs/>
          <w:kern w:val="0"/>
          <w:sz w:val="28"/>
          <w:szCs w:val="28"/>
        </w:rPr>
        <w:t>人员派出与管理</w:t>
      </w:r>
    </w:p>
    <w:p w14:paraId="30EA95B0">
      <w:pPr>
        <w:widowControl/>
        <w:shd w:val="clear" w:color="auto" w:fill="FFFFFF"/>
        <w:adjustRightInd w:val="0"/>
        <w:snapToGrid w:val="0"/>
        <w:spacing w:before="156" w:beforeLines="50"/>
        <w:ind w:firstLine="482" w:firstLineChars="200"/>
        <w:contextualSpacing/>
        <w:rPr>
          <w:rFonts w:ascii="黑体" w:hAnsi="黑体" w:eastAsia="黑体" w:cs="宋体"/>
          <w:kern w:val="0"/>
          <w:sz w:val="24"/>
          <w:szCs w:val="24"/>
        </w:rPr>
      </w:pPr>
      <w:r>
        <w:rPr>
          <w:rFonts w:ascii="黑体" w:hAnsi="黑体" w:eastAsia="黑体" w:cs="宋体"/>
          <w:b/>
          <w:kern w:val="0"/>
          <w:sz w:val="24"/>
          <w:szCs w:val="24"/>
        </w:rPr>
        <w:t>第三十</w:t>
      </w:r>
      <w:r>
        <w:rPr>
          <w:rFonts w:hint="eastAsia" w:ascii="黑体" w:hAnsi="黑体" w:eastAsia="黑体" w:cs="宋体"/>
          <w:b/>
          <w:kern w:val="0"/>
          <w:sz w:val="24"/>
          <w:szCs w:val="24"/>
        </w:rPr>
        <w:t>二</w:t>
      </w:r>
      <w:r>
        <w:rPr>
          <w:rFonts w:ascii="黑体" w:hAnsi="黑体" w:eastAsia="黑体" w:cs="宋体"/>
          <w:b/>
          <w:kern w:val="0"/>
          <w:sz w:val="24"/>
          <w:szCs w:val="24"/>
        </w:rPr>
        <w:t>条</w:t>
      </w:r>
      <w:r>
        <w:rPr>
          <w:rFonts w:ascii="Calibri" w:hAnsi="Calibri" w:eastAsia="黑体" w:cs="Calibri"/>
          <w:kern w:val="0"/>
          <w:sz w:val="24"/>
          <w:szCs w:val="24"/>
        </w:rPr>
        <w:t> </w:t>
      </w:r>
      <w:r>
        <w:rPr>
          <w:rFonts w:ascii="黑体" w:hAnsi="黑体" w:eastAsia="黑体" w:cs="宋体"/>
          <w:kern w:val="0"/>
          <w:sz w:val="24"/>
          <w:szCs w:val="24"/>
        </w:rPr>
        <w:t>2026年</w:t>
      </w:r>
      <w:r>
        <w:rPr>
          <w:rFonts w:hint="eastAsia" w:ascii="黑体" w:hAnsi="黑体" w:eastAsia="黑体" w:cs="宋体"/>
          <w:kern w:val="0"/>
          <w:sz w:val="24"/>
          <w:szCs w:val="24"/>
        </w:rPr>
        <w:t>本</w:t>
      </w:r>
      <w:r>
        <w:rPr>
          <w:rFonts w:ascii="黑体" w:hAnsi="黑体" w:eastAsia="黑体" w:cs="宋体"/>
          <w:kern w:val="0"/>
          <w:sz w:val="24"/>
          <w:szCs w:val="24"/>
        </w:rPr>
        <w:t>项目录取人员的留学资格保留至2027年12月31日。凡未按期派出者，其留学资格将自动取消。</w:t>
      </w:r>
    </w:p>
    <w:p w14:paraId="5D850E0A">
      <w:pPr>
        <w:widowControl/>
        <w:shd w:val="clear" w:color="auto" w:fill="FFFFFF"/>
        <w:adjustRightInd w:val="0"/>
        <w:snapToGrid w:val="0"/>
        <w:spacing w:before="156" w:beforeLines="50"/>
        <w:ind w:firstLine="482" w:firstLineChars="200"/>
        <w:contextualSpacing/>
        <w:rPr>
          <w:rFonts w:ascii="黑体" w:hAnsi="黑体" w:eastAsia="黑体" w:cs="宋体"/>
          <w:kern w:val="0"/>
          <w:sz w:val="24"/>
          <w:szCs w:val="24"/>
        </w:rPr>
      </w:pPr>
      <w:r>
        <w:rPr>
          <w:rFonts w:ascii="黑体" w:hAnsi="黑体" w:eastAsia="黑体" w:cs="宋体"/>
          <w:b/>
          <w:kern w:val="0"/>
          <w:sz w:val="24"/>
          <w:szCs w:val="24"/>
        </w:rPr>
        <w:t>第三十</w:t>
      </w:r>
      <w:r>
        <w:rPr>
          <w:rFonts w:hint="eastAsia" w:ascii="黑体" w:hAnsi="黑体" w:eastAsia="黑体" w:cs="宋体"/>
          <w:b/>
          <w:kern w:val="0"/>
          <w:sz w:val="24"/>
          <w:szCs w:val="24"/>
        </w:rPr>
        <w:t>三</w:t>
      </w:r>
      <w:r>
        <w:rPr>
          <w:rFonts w:ascii="黑体" w:hAnsi="黑体" w:eastAsia="黑体" w:cs="宋体"/>
          <w:b/>
          <w:kern w:val="0"/>
          <w:sz w:val="24"/>
          <w:szCs w:val="24"/>
        </w:rPr>
        <w:t>条</w:t>
      </w:r>
      <w:r>
        <w:rPr>
          <w:rFonts w:ascii="Calibri" w:hAnsi="Calibri" w:eastAsia="黑体" w:cs="Calibri"/>
          <w:kern w:val="0"/>
          <w:sz w:val="24"/>
          <w:szCs w:val="24"/>
        </w:rPr>
        <w:t> </w:t>
      </w:r>
      <w:r>
        <w:rPr>
          <w:rFonts w:ascii="黑体" w:hAnsi="黑体" w:eastAsia="黑体" w:cs="宋体"/>
          <w:kern w:val="0"/>
          <w:sz w:val="24"/>
          <w:szCs w:val="24"/>
        </w:rPr>
        <w:t>对留学人员实行“签约派出，违约赔偿”的管理办法。有关手续办理、常见问题等请登录信息平台（https://sa.csc.edu.cn/student/）阅读《出国留学人员须知》，并按要求办理。</w:t>
      </w:r>
    </w:p>
    <w:p w14:paraId="7F49D4E9">
      <w:pPr>
        <w:widowControl/>
        <w:shd w:val="clear" w:color="auto" w:fill="FFFFFF"/>
        <w:adjustRightInd w:val="0"/>
        <w:snapToGrid w:val="0"/>
        <w:spacing w:before="156" w:beforeLines="50"/>
        <w:ind w:firstLine="482" w:firstLineChars="200"/>
        <w:contextualSpacing/>
        <w:rPr>
          <w:rFonts w:ascii="黑体" w:hAnsi="黑体" w:eastAsia="黑体" w:cs="宋体"/>
          <w:kern w:val="0"/>
          <w:sz w:val="24"/>
          <w:szCs w:val="24"/>
        </w:rPr>
      </w:pPr>
      <w:r>
        <w:rPr>
          <w:rFonts w:ascii="黑体" w:hAnsi="黑体" w:eastAsia="黑体" w:cs="宋体"/>
          <w:b/>
          <w:kern w:val="0"/>
          <w:sz w:val="24"/>
          <w:szCs w:val="24"/>
        </w:rPr>
        <w:t>第</w:t>
      </w:r>
      <w:r>
        <w:rPr>
          <w:rFonts w:hint="eastAsia" w:ascii="黑体" w:hAnsi="黑体" w:eastAsia="黑体" w:cs="宋体"/>
          <w:b/>
          <w:kern w:val="0"/>
          <w:sz w:val="24"/>
          <w:szCs w:val="24"/>
        </w:rPr>
        <w:t>三十四</w:t>
      </w:r>
      <w:r>
        <w:rPr>
          <w:rFonts w:ascii="黑体" w:hAnsi="黑体" w:eastAsia="黑体" w:cs="宋体"/>
          <w:b/>
          <w:kern w:val="0"/>
          <w:sz w:val="24"/>
          <w:szCs w:val="24"/>
        </w:rPr>
        <w:t>条</w:t>
      </w:r>
      <w:r>
        <w:rPr>
          <w:rFonts w:ascii="Calibri" w:hAnsi="Calibri" w:eastAsia="黑体" w:cs="Calibri"/>
          <w:kern w:val="0"/>
          <w:sz w:val="24"/>
          <w:szCs w:val="24"/>
        </w:rPr>
        <w:t> </w:t>
      </w:r>
      <w:r>
        <w:rPr>
          <w:rFonts w:ascii="黑体" w:hAnsi="黑体" w:eastAsia="黑体" w:cs="宋体"/>
          <w:kern w:val="0"/>
          <w:sz w:val="24"/>
          <w:szCs w:val="24"/>
        </w:rPr>
        <w:t>派出前，留学人员须登录信息平台（</w:t>
      </w:r>
      <w:r>
        <w:fldChar w:fldCharType="begin"/>
      </w:r>
      <w:r>
        <w:instrText xml:space="preserve"> HYPERLINK "https://sa.csc.edu.cn/student/" \t "_blank" </w:instrText>
      </w:r>
      <w:r>
        <w:fldChar w:fldCharType="separate"/>
      </w:r>
      <w:r>
        <w:rPr>
          <w:rFonts w:ascii="黑体" w:hAnsi="黑体" w:eastAsia="黑体" w:cs="宋体"/>
          <w:kern w:val="0"/>
          <w:sz w:val="24"/>
          <w:szCs w:val="24"/>
        </w:rPr>
        <w:t>https://sa.csc.edu.cn/student/</w:t>
      </w:r>
      <w:r>
        <w:rPr>
          <w:rFonts w:ascii="黑体" w:hAnsi="黑体" w:eastAsia="黑体" w:cs="宋体"/>
          <w:kern w:val="0"/>
          <w:sz w:val="24"/>
          <w:szCs w:val="24"/>
        </w:rPr>
        <w:fldChar w:fldCharType="end"/>
      </w:r>
      <w:r>
        <w:rPr>
          <w:rFonts w:ascii="黑体" w:hAnsi="黑体" w:eastAsia="黑体" w:cs="宋体"/>
          <w:kern w:val="0"/>
          <w:sz w:val="24"/>
          <w:szCs w:val="24"/>
        </w:rPr>
        <w:t>）按要求签订《国家公派出国留学协议书》（以下简称协议书）；须办理国家公派留学奖学金专用银行卡（办理方式详见</w:t>
      </w:r>
      <w:r>
        <w:fldChar w:fldCharType="begin"/>
      </w:r>
      <w:r>
        <w:instrText xml:space="preserve"> HYPERLINK "https://www.csc.edu.cn/chuguo/s/1552" \t "_blank" </w:instrText>
      </w:r>
      <w:r>
        <w:fldChar w:fldCharType="separate"/>
      </w:r>
      <w:r>
        <w:rPr>
          <w:rFonts w:ascii="黑体" w:hAnsi="黑体" w:eastAsia="黑体" w:cs="宋体"/>
          <w:kern w:val="0"/>
          <w:sz w:val="24"/>
          <w:szCs w:val="24"/>
        </w:rPr>
        <w:t>https://www.csc.edu.cn/chuguo/s/1552</w:t>
      </w:r>
      <w:r>
        <w:rPr>
          <w:rFonts w:ascii="黑体" w:hAnsi="黑体" w:eastAsia="黑体" w:cs="宋体"/>
          <w:kern w:val="0"/>
          <w:sz w:val="24"/>
          <w:szCs w:val="24"/>
        </w:rPr>
        <w:fldChar w:fldCharType="end"/>
      </w:r>
      <w:r>
        <w:rPr>
          <w:rFonts w:ascii="黑体" w:hAnsi="黑体" w:eastAsia="黑体" w:cs="宋体"/>
          <w:kern w:val="0"/>
          <w:sz w:val="24"/>
          <w:szCs w:val="24"/>
        </w:rPr>
        <w:t>）；须自行办理护照、签证、《国际旅行健康证书》；通过教育部留学服务中心办理预定机票等手续。</w:t>
      </w:r>
    </w:p>
    <w:p w14:paraId="50901251">
      <w:pPr>
        <w:widowControl/>
        <w:shd w:val="clear" w:color="auto" w:fill="FFFFFF"/>
        <w:adjustRightInd w:val="0"/>
        <w:snapToGrid w:val="0"/>
        <w:spacing w:before="156" w:beforeLines="50"/>
        <w:ind w:firstLine="482" w:firstLineChars="200"/>
        <w:contextualSpacing/>
        <w:rPr>
          <w:rFonts w:ascii="黑体" w:hAnsi="黑体" w:eastAsia="黑体" w:cs="宋体"/>
          <w:kern w:val="0"/>
          <w:sz w:val="24"/>
          <w:szCs w:val="24"/>
        </w:rPr>
      </w:pPr>
      <w:r>
        <w:rPr>
          <w:rFonts w:ascii="黑体" w:hAnsi="黑体" w:eastAsia="黑体" w:cs="宋体"/>
          <w:b/>
          <w:kern w:val="0"/>
          <w:sz w:val="24"/>
          <w:szCs w:val="24"/>
        </w:rPr>
        <w:t>第三十</w:t>
      </w:r>
      <w:r>
        <w:rPr>
          <w:rFonts w:hint="eastAsia" w:ascii="黑体" w:hAnsi="黑体" w:eastAsia="黑体" w:cs="宋体"/>
          <w:b/>
          <w:kern w:val="0"/>
          <w:sz w:val="24"/>
          <w:szCs w:val="24"/>
        </w:rPr>
        <w:t>五</w:t>
      </w:r>
      <w:r>
        <w:rPr>
          <w:rFonts w:ascii="黑体" w:hAnsi="黑体" w:eastAsia="黑体" w:cs="宋体"/>
          <w:b/>
          <w:kern w:val="0"/>
          <w:sz w:val="24"/>
          <w:szCs w:val="24"/>
        </w:rPr>
        <w:t>条</w:t>
      </w:r>
      <w:r>
        <w:rPr>
          <w:rFonts w:ascii="Calibri" w:hAnsi="Calibri" w:eastAsia="黑体" w:cs="Calibri"/>
          <w:kern w:val="0"/>
          <w:sz w:val="24"/>
          <w:szCs w:val="24"/>
        </w:rPr>
        <w:t>  </w:t>
      </w:r>
      <w:r>
        <w:rPr>
          <w:rFonts w:ascii="黑体" w:hAnsi="黑体" w:eastAsia="黑体" w:cs="宋体"/>
          <w:kern w:val="0"/>
          <w:sz w:val="24"/>
          <w:szCs w:val="24"/>
        </w:rPr>
        <w:t>留学人员自抵达留学所在国后10日内须凭《国家留学基金资助出国留学资格证书》及相关材料向中国驻留学所在国使（领）馆办理报到手续，具体按照驻留学所在国使（领）馆要求办理。</w:t>
      </w:r>
    </w:p>
    <w:p w14:paraId="5D40BEFB">
      <w:pPr>
        <w:widowControl/>
        <w:shd w:val="clear" w:color="auto" w:fill="FFFFFF"/>
        <w:adjustRightInd w:val="0"/>
        <w:snapToGrid w:val="0"/>
        <w:spacing w:before="156" w:beforeLines="50"/>
        <w:ind w:firstLine="482" w:firstLineChars="200"/>
        <w:contextualSpacing/>
        <w:rPr>
          <w:rFonts w:ascii="黑体" w:hAnsi="黑体" w:eastAsia="黑体" w:cs="宋体"/>
          <w:kern w:val="0"/>
          <w:sz w:val="24"/>
          <w:szCs w:val="24"/>
        </w:rPr>
      </w:pPr>
      <w:r>
        <w:rPr>
          <w:rFonts w:ascii="黑体" w:hAnsi="黑体" w:eastAsia="黑体" w:cs="宋体"/>
          <w:b/>
          <w:kern w:val="0"/>
          <w:sz w:val="24"/>
          <w:szCs w:val="24"/>
        </w:rPr>
        <w:t>第三十</w:t>
      </w:r>
      <w:r>
        <w:rPr>
          <w:rFonts w:hint="eastAsia" w:ascii="黑体" w:hAnsi="黑体" w:eastAsia="黑体" w:cs="宋体"/>
          <w:b/>
          <w:kern w:val="0"/>
          <w:sz w:val="24"/>
          <w:szCs w:val="24"/>
        </w:rPr>
        <w:t>六</w:t>
      </w:r>
      <w:r>
        <w:rPr>
          <w:rFonts w:ascii="黑体" w:hAnsi="黑体" w:eastAsia="黑体" w:cs="宋体"/>
          <w:b/>
          <w:kern w:val="0"/>
          <w:sz w:val="24"/>
          <w:szCs w:val="24"/>
        </w:rPr>
        <w:t>条</w:t>
      </w:r>
      <w:r>
        <w:rPr>
          <w:rFonts w:ascii="Calibri" w:hAnsi="Calibri" w:eastAsia="黑体" w:cs="Calibri"/>
          <w:kern w:val="0"/>
          <w:sz w:val="24"/>
          <w:szCs w:val="24"/>
        </w:rPr>
        <w:t> </w:t>
      </w:r>
      <w:r>
        <w:rPr>
          <w:rFonts w:ascii="黑体" w:hAnsi="黑体" w:eastAsia="黑体" w:cs="宋体"/>
          <w:kern w:val="0"/>
          <w:sz w:val="24"/>
          <w:szCs w:val="24"/>
        </w:rPr>
        <w:t>留学人员在国外留学期间，应遵守所在国法律法规、国家留学基金资助出国留学人员的有关规定及《国家公派出国留学协议书》的有关约定，自觉接受项目单位和驻外使（领）馆的指导和管理。学成后应履行回国服务义务，回国之日起三个月内应登录国家公派留学管理信息平台登记回国信息。</w:t>
      </w:r>
    </w:p>
    <w:p w14:paraId="13F642DF">
      <w:pPr>
        <w:widowControl/>
        <w:shd w:val="clear" w:color="auto" w:fill="FFFFFF"/>
        <w:adjustRightInd w:val="0"/>
        <w:snapToGrid w:val="0"/>
        <w:spacing w:before="156" w:beforeLines="50"/>
        <w:ind w:firstLine="482" w:firstLineChars="200"/>
        <w:contextualSpacing/>
        <w:rPr>
          <w:rFonts w:ascii="黑体" w:hAnsi="黑体" w:eastAsia="黑体" w:cs="宋体"/>
          <w:kern w:val="0"/>
          <w:sz w:val="24"/>
          <w:szCs w:val="24"/>
        </w:rPr>
      </w:pPr>
      <w:r>
        <w:rPr>
          <w:rFonts w:ascii="黑体" w:hAnsi="黑体" w:eastAsia="黑体" w:cs="宋体"/>
          <w:b/>
          <w:kern w:val="0"/>
          <w:sz w:val="24"/>
          <w:szCs w:val="24"/>
        </w:rPr>
        <w:t>第三十</w:t>
      </w:r>
      <w:r>
        <w:rPr>
          <w:rFonts w:hint="eastAsia" w:ascii="黑体" w:hAnsi="黑体" w:eastAsia="黑体" w:cs="宋体"/>
          <w:b/>
          <w:kern w:val="0"/>
          <w:sz w:val="24"/>
          <w:szCs w:val="24"/>
        </w:rPr>
        <w:t>七</w:t>
      </w:r>
      <w:r>
        <w:rPr>
          <w:rFonts w:ascii="黑体" w:hAnsi="黑体" w:eastAsia="黑体" w:cs="宋体"/>
          <w:b/>
          <w:kern w:val="0"/>
          <w:sz w:val="24"/>
          <w:szCs w:val="24"/>
        </w:rPr>
        <w:t>条</w:t>
      </w:r>
      <w:r>
        <w:rPr>
          <w:rFonts w:ascii="Calibri" w:hAnsi="Calibri" w:eastAsia="黑体" w:cs="Calibri"/>
          <w:b/>
          <w:kern w:val="0"/>
          <w:sz w:val="24"/>
          <w:szCs w:val="24"/>
        </w:rPr>
        <w:t> </w:t>
      </w:r>
      <w:r>
        <w:rPr>
          <w:rFonts w:ascii="Calibri" w:hAnsi="Calibri" w:eastAsia="黑体" w:cs="Calibri"/>
          <w:kern w:val="0"/>
          <w:sz w:val="24"/>
          <w:szCs w:val="24"/>
        </w:rPr>
        <w:t> </w:t>
      </w:r>
      <w:r>
        <w:rPr>
          <w:rFonts w:ascii="黑体" w:hAnsi="黑体" w:eastAsia="黑体" w:cs="宋体"/>
          <w:kern w:val="0"/>
          <w:sz w:val="24"/>
          <w:szCs w:val="24"/>
        </w:rPr>
        <w:t>项目单位对其推荐的留学人员承担管理主体责任，应按照项目实施和管理办法，统筹考虑“选拔、派出、管理、回国”各环节，对留学人员加强目标和过程管理，具体工作应有专门机构和人员负责。</w:t>
      </w:r>
    </w:p>
    <w:p w14:paraId="592F3CCB">
      <w:pPr>
        <w:widowControl/>
        <w:shd w:val="clear" w:color="auto" w:fill="FFFFFF"/>
        <w:adjustRightInd w:val="0"/>
        <w:snapToGrid w:val="0"/>
        <w:spacing w:before="156" w:beforeLines="50"/>
        <w:ind w:firstLine="482" w:firstLineChars="200"/>
        <w:contextualSpacing/>
        <w:rPr>
          <w:rFonts w:ascii="黑体" w:hAnsi="黑体" w:eastAsia="黑体" w:cs="宋体"/>
          <w:kern w:val="0"/>
          <w:sz w:val="24"/>
          <w:szCs w:val="24"/>
        </w:rPr>
      </w:pPr>
      <w:r>
        <w:rPr>
          <w:rFonts w:ascii="黑体" w:hAnsi="黑体" w:eastAsia="黑体" w:cs="宋体"/>
          <w:b/>
          <w:kern w:val="0"/>
          <w:sz w:val="24"/>
          <w:szCs w:val="24"/>
        </w:rPr>
        <w:t>第</w:t>
      </w:r>
      <w:r>
        <w:rPr>
          <w:rFonts w:hint="eastAsia" w:ascii="黑体" w:hAnsi="黑体" w:eastAsia="黑体" w:cs="宋体"/>
          <w:b/>
          <w:kern w:val="0"/>
          <w:sz w:val="24"/>
          <w:szCs w:val="24"/>
        </w:rPr>
        <w:t>三十八</w:t>
      </w:r>
      <w:r>
        <w:rPr>
          <w:rFonts w:ascii="黑体" w:hAnsi="黑体" w:eastAsia="黑体" w:cs="宋体"/>
          <w:b/>
          <w:kern w:val="0"/>
          <w:sz w:val="24"/>
          <w:szCs w:val="24"/>
        </w:rPr>
        <w:t>条</w:t>
      </w:r>
      <w:r>
        <w:rPr>
          <w:rFonts w:ascii="Calibri" w:hAnsi="Calibri" w:eastAsia="黑体" w:cs="Calibri"/>
          <w:b/>
          <w:kern w:val="0"/>
          <w:sz w:val="24"/>
          <w:szCs w:val="24"/>
        </w:rPr>
        <w:t> </w:t>
      </w:r>
      <w:r>
        <w:rPr>
          <w:rFonts w:ascii="黑体" w:hAnsi="黑体" w:eastAsia="黑体" w:cs="宋体"/>
          <w:kern w:val="0"/>
          <w:sz w:val="24"/>
          <w:szCs w:val="24"/>
        </w:rPr>
        <w:t>本项目留学人员按期回国后，再次申请</w:t>
      </w:r>
      <w:r>
        <w:rPr>
          <w:rFonts w:hint="eastAsia" w:ascii="黑体" w:hAnsi="黑体" w:eastAsia="黑体" w:cs="宋体"/>
          <w:kern w:val="0"/>
          <w:sz w:val="24"/>
          <w:szCs w:val="24"/>
        </w:rPr>
        <w:t>国家公派留学</w:t>
      </w:r>
      <w:r>
        <w:rPr>
          <w:rFonts w:ascii="黑体" w:hAnsi="黑体" w:eastAsia="黑体" w:cs="宋体"/>
          <w:kern w:val="0"/>
          <w:sz w:val="24"/>
          <w:szCs w:val="24"/>
        </w:rPr>
        <w:t>项目出国攻读更高层次学位或进行联合培养时，不受回国后满两年方可再次申请国家公派出国留学的限制。</w:t>
      </w:r>
    </w:p>
    <w:p w14:paraId="4D3180DA">
      <w:pPr>
        <w:widowControl/>
        <w:shd w:val="clear" w:color="auto" w:fill="FFFFFF"/>
        <w:adjustRightInd w:val="0"/>
        <w:snapToGrid w:val="0"/>
        <w:spacing w:before="156" w:beforeLines="50"/>
        <w:ind w:firstLine="482" w:firstLineChars="200"/>
        <w:contextualSpacing/>
        <w:rPr>
          <w:rFonts w:ascii="黑体" w:hAnsi="黑体" w:eastAsia="黑体" w:cs="宋体"/>
          <w:kern w:val="0"/>
          <w:sz w:val="24"/>
          <w:szCs w:val="24"/>
        </w:rPr>
      </w:pPr>
      <w:r>
        <w:rPr>
          <w:rFonts w:ascii="黑体" w:hAnsi="黑体" w:eastAsia="黑体" w:cs="宋体"/>
          <w:b/>
          <w:kern w:val="0"/>
          <w:sz w:val="24"/>
          <w:szCs w:val="24"/>
        </w:rPr>
        <w:t>第</w:t>
      </w:r>
      <w:r>
        <w:rPr>
          <w:rFonts w:hint="eastAsia" w:ascii="黑体" w:hAnsi="黑体" w:eastAsia="黑体" w:cs="宋体"/>
          <w:b/>
          <w:kern w:val="0"/>
          <w:sz w:val="24"/>
          <w:szCs w:val="24"/>
        </w:rPr>
        <w:t>三十九</w:t>
      </w:r>
      <w:r>
        <w:rPr>
          <w:rFonts w:ascii="黑体" w:hAnsi="黑体" w:eastAsia="黑体" w:cs="宋体"/>
          <w:b/>
          <w:kern w:val="0"/>
          <w:sz w:val="24"/>
          <w:szCs w:val="24"/>
        </w:rPr>
        <w:t>条</w:t>
      </w:r>
      <w:r>
        <w:rPr>
          <w:rFonts w:ascii="Calibri" w:hAnsi="Calibri" w:eastAsia="黑体" w:cs="Calibri"/>
          <w:b/>
          <w:kern w:val="0"/>
          <w:sz w:val="24"/>
          <w:szCs w:val="24"/>
        </w:rPr>
        <w:t> </w:t>
      </w:r>
      <w:r>
        <w:rPr>
          <w:rFonts w:ascii="Calibri" w:hAnsi="Calibri" w:eastAsia="黑体" w:cs="Calibri"/>
          <w:kern w:val="0"/>
          <w:sz w:val="24"/>
          <w:szCs w:val="24"/>
        </w:rPr>
        <w:t> </w:t>
      </w:r>
      <w:r>
        <w:rPr>
          <w:rFonts w:ascii="黑体" w:hAnsi="黑体" w:eastAsia="黑体" w:cs="宋体"/>
          <w:kern w:val="0"/>
          <w:sz w:val="24"/>
          <w:szCs w:val="24"/>
        </w:rPr>
        <w:t>留学人员与获得资助有关的论文、研究项目或科研成果在成文、发表、公开时，应注明“本研究/成果/论文得到中国国家留学基金资助”。</w:t>
      </w:r>
    </w:p>
    <w:p w14:paraId="11578244">
      <w:pPr>
        <w:widowControl/>
        <w:shd w:val="clear" w:color="auto" w:fill="FFFFFF"/>
        <w:adjustRightInd w:val="0"/>
        <w:snapToGrid w:val="0"/>
        <w:spacing w:before="156" w:beforeLines="50"/>
        <w:ind w:firstLine="482" w:firstLineChars="200"/>
        <w:contextualSpacing/>
        <w:rPr>
          <w:rFonts w:ascii="黑体" w:hAnsi="黑体" w:eastAsia="黑体" w:cs="宋体"/>
          <w:kern w:val="0"/>
          <w:sz w:val="24"/>
          <w:szCs w:val="24"/>
        </w:rPr>
      </w:pPr>
      <w:r>
        <w:rPr>
          <w:rFonts w:ascii="黑体" w:hAnsi="黑体" w:eastAsia="黑体" w:cs="宋体"/>
          <w:b/>
          <w:kern w:val="0"/>
          <w:sz w:val="24"/>
          <w:szCs w:val="24"/>
        </w:rPr>
        <w:t>第四十条</w:t>
      </w:r>
      <w:r>
        <w:rPr>
          <w:rFonts w:ascii="Calibri" w:hAnsi="Calibri" w:eastAsia="黑体" w:cs="Calibri"/>
          <w:kern w:val="0"/>
          <w:sz w:val="24"/>
          <w:szCs w:val="24"/>
        </w:rPr>
        <w:t> </w:t>
      </w:r>
      <w:r>
        <w:rPr>
          <w:rFonts w:ascii="黑体" w:hAnsi="黑体" w:eastAsia="黑体" w:cs="宋体"/>
          <w:kern w:val="0"/>
          <w:sz w:val="24"/>
          <w:szCs w:val="24"/>
        </w:rPr>
        <w:t>留学人员如有不符合《国家留学基金资助出国留学人员选派</w:t>
      </w:r>
      <w:r>
        <w:rPr>
          <w:rFonts w:hint="eastAsia" w:ascii="黑体" w:hAnsi="黑体" w:eastAsia="黑体" w:cs="宋体"/>
          <w:kern w:val="0"/>
          <w:sz w:val="24"/>
          <w:szCs w:val="24"/>
        </w:rPr>
        <w:t>指南</w:t>
      </w:r>
      <w:r>
        <w:rPr>
          <w:rFonts w:ascii="黑体" w:hAnsi="黑体" w:eastAsia="黑体" w:cs="宋体"/>
          <w:kern w:val="0"/>
          <w:sz w:val="24"/>
          <w:szCs w:val="24"/>
        </w:rPr>
        <w:t>》及本实施办法要求或违反国家法律法规被依法追究刑事责任、违反公序良俗造成严重不良影响、违反学术道德规范情节严重等情况，在选拔录取阶段和国家公派出国留学协议履行期间查证属实的，国家留学基金委有权对当事人采取退回申请、取消资格、终止资助、违约追偿等措施。</w:t>
      </w:r>
    </w:p>
    <w:p w14:paraId="73160680">
      <w:pPr>
        <w:widowControl/>
        <w:shd w:val="clear" w:color="auto" w:fill="FFFFFF"/>
        <w:adjustRightInd w:val="0"/>
        <w:snapToGrid w:val="0"/>
        <w:spacing w:before="156" w:beforeLines="50"/>
        <w:ind w:firstLine="482" w:firstLineChars="200"/>
        <w:contextualSpacing/>
        <w:rPr>
          <w:rFonts w:ascii="黑体" w:hAnsi="黑体" w:eastAsia="黑体" w:cs="宋体"/>
          <w:kern w:val="0"/>
          <w:sz w:val="24"/>
          <w:szCs w:val="24"/>
        </w:rPr>
      </w:pPr>
      <w:r>
        <w:rPr>
          <w:rFonts w:ascii="黑体" w:hAnsi="黑体" w:eastAsia="黑体" w:cs="宋体"/>
          <w:b/>
          <w:kern w:val="0"/>
          <w:sz w:val="24"/>
          <w:szCs w:val="24"/>
        </w:rPr>
        <w:t>第四十</w:t>
      </w:r>
      <w:r>
        <w:rPr>
          <w:rFonts w:hint="eastAsia" w:ascii="黑体" w:hAnsi="黑体" w:eastAsia="黑体" w:cs="宋体"/>
          <w:b/>
          <w:kern w:val="0"/>
          <w:sz w:val="24"/>
          <w:szCs w:val="24"/>
        </w:rPr>
        <w:t>一</w:t>
      </w:r>
      <w:r>
        <w:rPr>
          <w:rFonts w:ascii="黑体" w:hAnsi="黑体" w:eastAsia="黑体" w:cs="宋体"/>
          <w:b/>
          <w:kern w:val="0"/>
          <w:sz w:val="24"/>
          <w:szCs w:val="24"/>
        </w:rPr>
        <w:t>条</w:t>
      </w:r>
      <w:r>
        <w:rPr>
          <w:rFonts w:ascii="Calibri" w:hAnsi="Calibri" w:eastAsia="黑体" w:cs="Calibri"/>
          <w:b/>
          <w:kern w:val="0"/>
          <w:sz w:val="24"/>
          <w:szCs w:val="24"/>
        </w:rPr>
        <w:t> </w:t>
      </w:r>
      <w:r>
        <w:rPr>
          <w:rFonts w:ascii="Calibri" w:hAnsi="Calibri" w:eastAsia="黑体" w:cs="Calibri"/>
          <w:kern w:val="0"/>
          <w:sz w:val="24"/>
          <w:szCs w:val="24"/>
        </w:rPr>
        <w:t> </w:t>
      </w:r>
      <w:r>
        <w:rPr>
          <w:rFonts w:ascii="黑体" w:hAnsi="黑体" w:eastAsia="黑体" w:cs="宋体"/>
          <w:kern w:val="0"/>
          <w:sz w:val="24"/>
          <w:szCs w:val="24"/>
        </w:rPr>
        <w:t>其它有关事宜按照国家公派留学相关规定办理。</w:t>
      </w:r>
    </w:p>
    <w:p w14:paraId="750E649B">
      <w:pPr>
        <w:widowControl/>
        <w:shd w:val="clear" w:color="auto" w:fill="FFFFFF"/>
        <w:adjustRightInd w:val="0"/>
        <w:snapToGrid w:val="0"/>
        <w:spacing w:before="156" w:beforeLines="50"/>
        <w:ind w:firstLine="480" w:firstLineChars="200"/>
        <w:contextualSpacing/>
        <w:rPr>
          <w:rFonts w:ascii="黑体" w:hAnsi="黑体" w:eastAsia="黑体" w:cs="宋体"/>
          <w:kern w:val="0"/>
          <w:sz w:val="24"/>
          <w:szCs w:val="24"/>
        </w:rPr>
      </w:pPr>
    </w:p>
    <w:p w14:paraId="5AD42A15">
      <w:pPr>
        <w:widowControl/>
        <w:shd w:val="clear" w:color="auto" w:fill="FFFFFF"/>
        <w:adjustRightInd w:val="0"/>
        <w:snapToGrid w:val="0"/>
        <w:spacing w:before="156" w:beforeLines="50" w:line="240" w:lineRule="atLeast"/>
        <w:contextualSpacing/>
        <w:jc w:val="center"/>
        <w:rPr>
          <w:rFonts w:ascii="黑体" w:hAnsi="黑体" w:eastAsia="黑体" w:cs="宋体"/>
          <w:b/>
          <w:bCs/>
          <w:kern w:val="0"/>
          <w:sz w:val="28"/>
          <w:szCs w:val="28"/>
        </w:rPr>
      </w:pPr>
      <w:r>
        <w:rPr>
          <w:rFonts w:ascii="黑体" w:hAnsi="黑体" w:eastAsia="黑体" w:cs="宋体"/>
          <w:b/>
          <w:bCs/>
          <w:kern w:val="0"/>
          <w:sz w:val="28"/>
          <w:szCs w:val="28"/>
        </w:rPr>
        <w:t>第七章</w:t>
      </w:r>
      <w:r>
        <w:rPr>
          <w:rFonts w:ascii="Calibri" w:hAnsi="Calibri" w:eastAsia="黑体" w:cs="Calibri"/>
          <w:b/>
          <w:bCs/>
          <w:kern w:val="0"/>
          <w:sz w:val="28"/>
          <w:szCs w:val="28"/>
        </w:rPr>
        <w:t>  </w:t>
      </w:r>
      <w:r>
        <w:rPr>
          <w:rFonts w:ascii="黑体" w:hAnsi="黑体" w:eastAsia="黑体" w:cs="宋体"/>
          <w:b/>
          <w:bCs/>
          <w:kern w:val="0"/>
          <w:sz w:val="28"/>
          <w:szCs w:val="28"/>
        </w:rPr>
        <w:t>附则</w:t>
      </w:r>
    </w:p>
    <w:p w14:paraId="13C9487F">
      <w:pPr>
        <w:widowControl/>
        <w:shd w:val="clear" w:color="auto" w:fill="FFFFFF"/>
        <w:adjustRightInd w:val="0"/>
        <w:snapToGrid w:val="0"/>
        <w:spacing w:before="156" w:beforeLines="50"/>
        <w:ind w:firstLine="482" w:firstLineChars="200"/>
        <w:contextualSpacing/>
        <w:rPr>
          <w:rFonts w:ascii="黑体" w:hAnsi="黑体" w:eastAsia="黑体" w:cs="宋体"/>
          <w:kern w:val="0"/>
          <w:sz w:val="24"/>
          <w:szCs w:val="24"/>
        </w:rPr>
      </w:pPr>
      <w:r>
        <w:rPr>
          <w:rFonts w:ascii="黑体" w:hAnsi="黑体" w:eastAsia="黑体" w:cs="宋体"/>
          <w:b/>
          <w:kern w:val="0"/>
          <w:sz w:val="24"/>
          <w:szCs w:val="24"/>
        </w:rPr>
        <w:t>第四十</w:t>
      </w:r>
      <w:r>
        <w:rPr>
          <w:rFonts w:hint="eastAsia" w:ascii="黑体" w:hAnsi="黑体" w:eastAsia="黑体" w:cs="宋体"/>
          <w:b/>
          <w:kern w:val="0"/>
          <w:sz w:val="24"/>
          <w:szCs w:val="24"/>
        </w:rPr>
        <w:t>二</w:t>
      </w:r>
      <w:r>
        <w:rPr>
          <w:rFonts w:ascii="黑体" w:hAnsi="黑体" w:eastAsia="黑体" w:cs="宋体"/>
          <w:b/>
          <w:kern w:val="0"/>
          <w:sz w:val="24"/>
          <w:szCs w:val="24"/>
        </w:rPr>
        <w:t>条</w:t>
      </w:r>
      <w:r>
        <w:rPr>
          <w:rFonts w:ascii="Calibri" w:hAnsi="Calibri" w:eastAsia="黑体" w:cs="Calibri"/>
          <w:kern w:val="0"/>
          <w:sz w:val="24"/>
          <w:szCs w:val="24"/>
        </w:rPr>
        <w:t>  </w:t>
      </w:r>
      <w:r>
        <w:rPr>
          <w:rFonts w:ascii="黑体" w:hAnsi="黑体" w:eastAsia="黑体" w:cs="宋体"/>
          <w:kern w:val="0"/>
          <w:sz w:val="24"/>
          <w:szCs w:val="24"/>
        </w:rPr>
        <w:t>本办法自发布之日施行。</w:t>
      </w:r>
    </w:p>
    <w:p w14:paraId="7B267D75">
      <w:pPr>
        <w:widowControl/>
        <w:shd w:val="clear" w:color="auto" w:fill="FFFFFF"/>
        <w:adjustRightInd w:val="0"/>
        <w:snapToGrid w:val="0"/>
        <w:spacing w:before="156" w:beforeLines="50"/>
        <w:ind w:firstLine="482" w:firstLineChars="200"/>
        <w:contextualSpacing/>
        <w:rPr>
          <w:rFonts w:ascii="黑体" w:hAnsi="黑体" w:eastAsia="黑体" w:cs="宋体"/>
          <w:kern w:val="0"/>
          <w:sz w:val="24"/>
          <w:szCs w:val="24"/>
        </w:rPr>
      </w:pPr>
      <w:r>
        <w:rPr>
          <w:rFonts w:ascii="黑体" w:hAnsi="黑体" w:eastAsia="黑体" w:cs="宋体"/>
          <w:b/>
          <w:kern w:val="0"/>
          <w:sz w:val="24"/>
          <w:szCs w:val="24"/>
        </w:rPr>
        <w:t>第四十</w:t>
      </w:r>
      <w:r>
        <w:rPr>
          <w:rFonts w:hint="eastAsia" w:ascii="黑体" w:hAnsi="黑体" w:eastAsia="黑体" w:cs="宋体"/>
          <w:b/>
          <w:kern w:val="0"/>
          <w:sz w:val="24"/>
          <w:szCs w:val="24"/>
        </w:rPr>
        <w:t>三</w:t>
      </w:r>
      <w:r>
        <w:rPr>
          <w:rFonts w:ascii="黑体" w:hAnsi="黑体" w:eastAsia="黑体" w:cs="宋体"/>
          <w:b/>
          <w:kern w:val="0"/>
          <w:sz w:val="24"/>
          <w:szCs w:val="24"/>
        </w:rPr>
        <w:t>条</w:t>
      </w:r>
      <w:r>
        <w:rPr>
          <w:rFonts w:ascii="Calibri" w:hAnsi="Calibri" w:eastAsia="黑体" w:cs="Calibri"/>
          <w:kern w:val="0"/>
          <w:sz w:val="24"/>
          <w:szCs w:val="24"/>
        </w:rPr>
        <w:t> </w:t>
      </w:r>
      <w:r>
        <w:rPr>
          <w:rFonts w:ascii="黑体" w:hAnsi="黑体" w:eastAsia="黑体" w:cs="宋体"/>
          <w:kern w:val="0"/>
          <w:sz w:val="24"/>
          <w:szCs w:val="24"/>
        </w:rPr>
        <w:t>本办法由国家留学基金委负责解释。</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Arial">
    <w:altName w:val="Times New Roman"/>
    <w:panose1 w:val="020B0604020202020204"/>
    <w:charset w:val="00"/>
    <w:family w:val="swiss"/>
    <w:pitch w:val="default"/>
    <w:sig w:usb0="00000000" w:usb1="00000000" w:usb2="00000009" w:usb3="00000000" w:csb0="000001FF" w:csb1="00000000"/>
  </w:font>
  <w:font w:name="Helvetica">
    <w:altName w:val="DejaVu Sans"/>
    <w:panose1 w:val="020B0604020202020204"/>
    <w:charset w:val="00"/>
    <w:family w:val="swiss"/>
    <w:pitch w:val="default"/>
    <w:sig w:usb0="00000000" w:usb1="00000000" w:usb2="00000009" w:usb3="00000000" w:csb0="000001F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79CB0">
    <w:pPr>
      <w:pStyle w:val="6"/>
    </w:pPr>
  </w:p>
  <w:p w14:paraId="6142058C">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1E0"/>
    <w:rsid w:val="0000400B"/>
    <w:rsid w:val="00012443"/>
    <w:rsid w:val="00013F1E"/>
    <w:rsid w:val="000209C0"/>
    <w:rsid w:val="000236C8"/>
    <w:rsid w:val="00024D27"/>
    <w:rsid w:val="000255BD"/>
    <w:rsid w:val="00025843"/>
    <w:rsid w:val="00026149"/>
    <w:rsid w:val="00030B27"/>
    <w:rsid w:val="00033AE9"/>
    <w:rsid w:val="00040E70"/>
    <w:rsid w:val="0004208F"/>
    <w:rsid w:val="00047370"/>
    <w:rsid w:val="0005151C"/>
    <w:rsid w:val="000520EE"/>
    <w:rsid w:val="0006664A"/>
    <w:rsid w:val="00076260"/>
    <w:rsid w:val="000826BA"/>
    <w:rsid w:val="0008615E"/>
    <w:rsid w:val="000865E5"/>
    <w:rsid w:val="00087B20"/>
    <w:rsid w:val="00092C83"/>
    <w:rsid w:val="00094A5C"/>
    <w:rsid w:val="000B0760"/>
    <w:rsid w:val="000B2AFF"/>
    <w:rsid w:val="000C0977"/>
    <w:rsid w:val="000C20E1"/>
    <w:rsid w:val="000C592B"/>
    <w:rsid w:val="000C6718"/>
    <w:rsid w:val="000C724C"/>
    <w:rsid w:val="000D5F76"/>
    <w:rsid w:val="000E188D"/>
    <w:rsid w:val="000E4A81"/>
    <w:rsid w:val="000E5F6A"/>
    <w:rsid w:val="000E6158"/>
    <w:rsid w:val="000F3C37"/>
    <w:rsid w:val="000F7A82"/>
    <w:rsid w:val="00101C87"/>
    <w:rsid w:val="001026CB"/>
    <w:rsid w:val="0011434B"/>
    <w:rsid w:val="00124B09"/>
    <w:rsid w:val="0013041B"/>
    <w:rsid w:val="00134F70"/>
    <w:rsid w:val="00140729"/>
    <w:rsid w:val="00141926"/>
    <w:rsid w:val="00146DBC"/>
    <w:rsid w:val="0016266F"/>
    <w:rsid w:val="00170F55"/>
    <w:rsid w:val="00171218"/>
    <w:rsid w:val="00175DAE"/>
    <w:rsid w:val="00180029"/>
    <w:rsid w:val="001802B0"/>
    <w:rsid w:val="00180790"/>
    <w:rsid w:val="00180A2A"/>
    <w:rsid w:val="00181BFD"/>
    <w:rsid w:val="0018344F"/>
    <w:rsid w:val="00194167"/>
    <w:rsid w:val="00195135"/>
    <w:rsid w:val="00195BE8"/>
    <w:rsid w:val="00195C11"/>
    <w:rsid w:val="0019622B"/>
    <w:rsid w:val="00196A7A"/>
    <w:rsid w:val="001A14D9"/>
    <w:rsid w:val="001A3042"/>
    <w:rsid w:val="001A360C"/>
    <w:rsid w:val="001A3E06"/>
    <w:rsid w:val="001A63C8"/>
    <w:rsid w:val="001B512E"/>
    <w:rsid w:val="001B58FE"/>
    <w:rsid w:val="001C3336"/>
    <w:rsid w:val="001C4FE3"/>
    <w:rsid w:val="001C71DF"/>
    <w:rsid w:val="001D1011"/>
    <w:rsid w:val="001D31CB"/>
    <w:rsid w:val="001D6231"/>
    <w:rsid w:val="001D6D3B"/>
    <w:rsid w:val="001F41FC"/>
    <w:rsid w:val="00201F90"/>
    <w:rsid w:val="00212639"/>
    <w:rsid w:val="0021560D"/>
    <w:rsid w:val="002359A7"/>
    <w:rsid w:val="00241CB0"/>
    <w:rsid w:val="00247BAF"/>
    <w:rsid w:val="00250F02"/>
    <w:rsid w:val="0025201C"/>
    <w:rsid w:val="00252B5D"/>
    <w:rsid w:val="00256F50"/>
    <w:rsid w:val="002634A1"/>
    <w:rsid w:val="00263E46"/>
    <w:rsid w:val="00266C94"/>
    <w:rsid w:val="00273206"/>
    <w:rsid w:val="00277CDE"/>
    <w:rsid w:val="00281156"/>
    <w:rsid w:val="00281973"/>
    <w:rsid w:val="00291AEF"/>
    <w:rsid w:val="002A1B32"/>
    <w:rsid w:val="002A1B85"/>
    <w:rsid w:val="002A5DE8"/>
    <w:rsid w:val="002B6B2A"/>
    <w:rsid w:val="002C2F7D"/>
    <w:rsid w:val="002D0C4D"/>
    <w:rsid w:val="002D7D22"/>
    <w:rsid w:val="002E3379"/>
    <w:rsid w:val="002E7612"/>
    <w:rsid w:val="002F2AE5"/>
    <w:rsid w:val="002F747B"/>
    <w:rsid w:val="00310CAB"/>
    <w:rsid w:val="00312CA5"/>
    <w:rsid w:val="0032000E"/>
    <w:rsid w:val="00333ECF"/>
    <w:rsid w:val="00336275"/>
    <w:rsid w:val="00345C38"/>
    <w:rsid w:val="0034685E"/>
    <w:rsid w:val="003478D6"/>
    <w:rsid w:val="00351BE1"/>
    <w:rsid w:val="00353CF3"/>
    <w:rsid w:val="003566A5"/>
    <w:rsid w:val="00360643"/>
    <w:rsid w:val="00363276"/>
    <w:rsid w:val="00366A1C"/>
    <w:rsid w:val="0037071B"/>
    <w:rsid w:val="0037335D"/>
    <w:rsid w:val="00383655"/>
    <w:rsid w:val="003846EE"/>
    <w:rsid w:val="003956A8"/>
    <w:rsid w:val="003A13FC"/>
    <w:rsid w:val="003A4B31"/>
    <w:rsid w:val="003B7DCC"/>
    <w:rsid w:val="003C60E0"/>
    <w:rsid w:val="003C613E"/>
    <w:rsid w:val="003D4EF9"/>
    <w:rsid w:val="003E09B4"/>
    <w:rsid w:val="003E558A"/>
    <w:rsid w:val="003E5E8E"/>
    <w:rsid w:val="003F14A3"/>
    <w:rsid w:val="003F2C5C"/>
    <w:rsid w:val="003F68B0"/>
    <w:rsid w:val="0040724C"/>
    <w:rsid w:val="004106E3"/>
    <w:rsid w:val="0042174C"/>
    <w:rsid w:val="0042409E"/>
    <w:rsid w:val="004307E0"/>
    <w:rsid w:val="004429B1"/>
    <w:rsid w:val="00443655"/>
    <w:rsid w:val="00446C8E"/>
    <w:rsid w:val="00447C3B"/>
    <w:rsid w:val="00447EF9"/>
    <w:rsid w:val="00451FC8"/>
    <w:rsid w:val="004603E0"/>
    <w:rsid w:val="0046415F"/>
    <w:rsid w:val="00467C13"/>
    <w:rsid w:val="00471305"/>
    <w:rsid w:val="004713C5"/>
    <w:rsid w:val="00473674"/>
    <w:rsid w:val="004749D0"/>
    <w:rsid w:val="004908A5"/>
    <w:rsid w:val="00491950"/>
    <w:rsid w:val="004953B4"/>
    <w:rsid w:val="00497819"/>
    <w:rsid w:val="004A699D"/>
    <w:rsid w:val="004A7E5C"/>
    <w:rsid w:val="004B0B0E"/>
    <w:rsid w:val="004B0C00"/>
    <w:rsid w:val="004C2294"/>
    <w:rsid w:val="004C5903"/>
    <w:rsid w:val="004C79C6"/>
    <w:rsid w:val="004C7B9B"/>
    <w:rsid w:val="004D05F2"/>
    <w:rsid w:val="004D3D81"/>
    <w:rsid w:val="004E10D6"/>
    <w:rsid w:val="004F251E"/>
    <w:rsid w:val="004F2769"/>
    <w:rsid w:val="004F34F6"/>
    <w:rsid w:val="004F4A74"/>
    <w:rsid w:val="00503196"/>
    <w:rsid w:val="00503750"/>
    <w:rsid w:val="0050380E"/>
    <w:rsid w:val="00503ED6"/>
    <w:rsid w:val="00505CB1"/>
    <w:rsid w:val="005157C0"/>
    <w:rsid w:val="00521535"/>
    <w:rsid w:val="0053110B"/>
    <w:rsid w:val="005359CE"/>
    <w:rsid w:val="00544BD3"/>
    <w:rsid w:val="005462CA"/>
    <w:rsid w:val="00554CB4"/>
    <w:rsid w:val="00561F02"/>
    <w:rsid w:val="005637F8"/>
    <w:rsid w:val="005731AC"/>
    <w:rsid w:val="005805D8"/>
    <w:rsid w:val="00587103"/>
    <w:rsid w:val="00590DA7"/>
    <w:rsid w:val="0059626A"/>
    <w:rsid w:val="005A00E1"/>
    <w:rsid w:val="005A33A1"/>
    <w:rsid w:val="005A4B8F"/>
    <w:rsid w:val="005A5E86"/>
    <w:rsid w:val="005A7F07"/>
    <w:rsid w:val="005B1A7D"/>
    <w:rsid w:val="005B48B6"/>
    <w:rsid w:val="005B52F2"/>
    <w:rsid w:val="005D17BB"/>
    <w:rsid w:val="005D4EA9"/>
    <w:rsid w:val="005D7236"/>
    <w:rsid w:val="005E0409"/>
    <w:rsid w:val="005E157C"/>
    <w:rsid w:val="005E7875"/>
    <w:rsid w:val="005F123C"/>
    <w:rsid w:val="005F1A19"/>
    <w:rsid w:val="005F1EED"/>
    <w:rsid w:val="006023B3"/>
    <w:rsid w:val="00602611"/>
    <w:rsid w:val="006047D1"/>
    <w:rsid w:val="00604A5F"/>
    <w:rsid w:val="00612D64"/>
    <w:rsid w:val="006277CD"/>
    <w:rsid w:val="00632DE0"/>
    <w:rsid w:val="006344D6"/>
    <w:rsid w:val="00634C0D"/>
    <w:rsid w:val="00635877"/>
    <w:rsid w:val="00640631"/>
    <w:rsid w:val="006454B6"/>
    <w:rsid w:val="006465EA"/>
    <w:rsid w:val="00647E48"/>
    <w:rsid w:val="00652C74"/>
    <w:rsid w:val="00666D08"/>
    <w:rsid w:val="00667105"/>
    <w:rsid w:val="006711D1"/>
    <w:rsid w:val="0067155F"/>
    <w:rsid w:val="0067157D"/>
    <w:rsid w:val="00674B0D"/>
    <w:rsid w:val="00682CAB"/>
    <w:rsid w:val="00690EA4"/>
    <w:rsid w:val="00695C17"/>
    <w:rsid w:val="00695E2D"/>
    <w:rsid w:val="006A0D21"/>
    <w:rsid w:val="006A4244"/>
    <w:rsid w:val="006A7482"/>
    <w:rsid w:val="006B0343"/>
    <w:rsid w:val="006B19DA"/>
    <w:rsid w:val="006B57CD"/>
    <w:rsid w:val="006B7658"/>
    <w:rsid w:val="006C0A0F"/>
    <w:rsid w:val="006C0C6C"/>
    <w:rsid w:val="006C2D41"/>
    <w:rsid w:val="006C31D9"/>
    <w:rsid w:val="006D19CC"/>
    <w:rsid w:val="006E5D01"/>
    <w:rsid w:val="00710705"/>
    <w:rsid w:val="00712C8E"/>
    <w:rsid w:val="00714F62"/>
    <w:rsid w:val="00723201"/>
    <w:rsid w:val="00726795"/>
    <w:rsid w:val="00732AD6"/>
    <w:rsid w:val="0073771A"/>
    <w:rsid w:val="0074137E"/>
    <w:rsid w:val="00745A85"/>
    <w:rsid w:val="007474BA"/>
    <w:rsid w:val="007535CF"/>
    <w:rsid w:val="007543BC"/>
    <w:rsid w:val="00754FD1"/>
    <w:rsid w:val="00772547"/>
    <w:rsid w:val="00773381"/>
    <w:rsid w:val="00774B8A"/>
    <w:rsid w:val="00774B8F"/>
    <w:rsid w:val="00776FC9"/>
    <w:rsid w:val="007778D2"/>
    <w:rsid w:val="007828A2"/>
    <w:rsid w:val="00791E86"/>
    <w:rsid w:val="00797C67"/>
    <w:rsid w:val="007A003F"/>
    <w:rsid w:val="007B2DAF"/>
    <w:rsid w:val="007B2E2A"/>
    <w:rsid w:val="007C4B32"/>
    <w:rsid w:val="007D272A"/>
    <w:rsid w:val="007D394C"/>
    <w:rsid w:val="007E4C61"/>
    <w:rsid w:val="007F364E"/>
    <w:rsid w:val="007F3AB7"/>
    <w:rsid w:val="007F4156"/>
    <w:rsid w:val="007F49A9"/>
    <w:rsid w:val="007F6510"/>
    <w:rsid w:val="007F7DE9"/>
    <w:rsid w:val="008016EC"/>
    <w:rsid w:val="0080220D"/>
    <w:rsid w:val="00817A54"/>
    <w:rsid w:val="0082277F"/>
    <w:rsid w:val="0082385E"/>
    <w:rsid w:val="00825405"/>
    <w:rsid w:val="00825CCD"/>
    <w:rsid w:val="008272C8"/>
    <w:rsid w:val="008301D6"/>
    <w:rsid w:val="00844014"/>
    <w:rsid w:val="008446B7"/>
    <w:rsid w:val="00852B3F"/>
    <w:rsid w:val="008541B2"/>
    <w:rsid w:val="00857DBA"/>
    <w:rsid w:val="008615EB"/>
    <w:rsid w:val="00871152"/>
    <w:rsid w:val="0087594A"/>
    <w:rsid w:val="00883497"/>
    <w:rsid w:val="00884568"/>
    <w:rsid w:val="00884941"/>
    <w:rsid w:val="00886BB2"/>
    <w:rsid w:val="00886E61"/>
    <w:rsid w:val="00891CD2"/>
    <w:rsid w:val="00893282"/>
    <w:rsid w:val="00895C16"/>
    <w:rsid w:val="008B1725"/>
    <w:rsid w:val="008B22A1"/>
    <w:rsid w:val="008B28E9"/>
    <w:rsid w:val="008B4B4D"/>
    <w:rsid w:val="008B6697"/>
    <w:rsid w:val="008E151A"/>
    <w:rsid w:val="008E5194"/>
    <w:rsid w:val="008F54D9"/>
    <w:rsid w:val="008F762C"/>
    <w:rsid w:val="009048D8"/>
    <w:rsid w:val="0090572B"/>
    <w:rsid w:val="009120EF"/>
    <w:rsid w:val="0091575A"/>
    <w:rsid w:val="00916B74"/>
    <w:rsid w:val="0091755E"/>
    <w:rsid w:val="009255EC"/>
    <w:rsid w:val="00930E10"/>
    <w:rsid w:val="009315D4"/>
    <w:rsid w:val="009373D8"/>
    <w:rsid w:val="00942D4A"/>
    <w:rsid w:val="00945816"/>
    <w:rsid w:val="00946339"/>
    <w:rsid w:val="009562CF"/>
    <w:rsid w:val="00961CCA"/>
    <w:rsid w:val="00962F3B"/>
    <w:rsid w:val="00970DA1"/>
    <w:rsid w:val="00970F1B"/>
    <w:rsid w:val="00971C07"/>
    <w:rsid w:val="00974A43"/>
    <w:rsid w:val="00975453"/>
    <w:rsid w:val="0097626B"/>
    <w:rsid w:val="00983114"/>
    <w:rsid w:val="0099217C"/>
    <w:rsid w:val="009A405C"/>
    <w:rsid w:val="009B5C4C"/>
    <w:rsid w:val="009C2DC2"/>
    <w:rsid w:val="009C41ED"/>
    <w:rsid w:val="009C7E17"/>
    <w:rsid w:val="009D2103"/>
    <w:rsid w:val="009D44FD"/>
    <w:rsid w:val="009D5292"/>
    <w:rsid w:val="009E2F01"/>
    <w:rsid w:val="009E41E8"/>
    <w:rsid w:val="009F0FE2"/>
    <w:rsid w:val="00A01EA6"/>
    <w:rsid w:val="00A10B70"/>
    <w:rsid w:val="00A11256"/>
    <w:rsid w:val="00A1445A"/>
    <w:rsid w:val="00A27835"/>
    <w:rsid w:val="00A338DC"/>
    <w:rsid w:val="00A34EE9"/>
    <w:rsid w:val="00A40220"/>
    <w:rsid w:val="00A452BC"/>
    <w:rsid w:val="00A52317"/>
    <w:rsid w:val="00A561C7"/>
    <w:rsid w:val="00A60A32"/>
    <w:rsid w:val="00A663AF"/>
    <w:rsid w:val="00A70F91"/>
    <w:rsid w:val="00A76D1A"/>
    <w:rsid w:val="00A818A9"/>
    <w:rsid w:val="00A827B9"/>
    <w:rsid w:val="00A8312C"/>
    <w:rsid w:val="00A94D7E"/>
    <w:rsid w:val="00A97C68"/>
    <w:rsid w:val="00AA1CD9"/>
    <w:rsid w:val="00AA286B"/>
    <w:rsid w:val="00AA351A"/>
    <w:rsid w:val="00AA5572"/>
    <w:rsid w:val="00AB1087"/>
    <w:rsid w:val="00AB1DA2"/>
    <w:rsid w:val="00AC33B8"/>
    <w:rsid w:val="00AD0A2B"/>
    <w:rsid w:val="00AE03D3"/>
    <w:rsid w:val="00AE66DE"/>
    <w:rsid w:val="00AE6DC6"/>
    <w:rsid w:val="00AF61BE"/>
    <w:rsid w:val="00B036C1"/>
    <w:rsid w:val="00B23619"/>
    <w:rsid w:val="00B400C7"/>
    <w:rsid w:val="00B40570"/>
    <w:rsid w:val="00B40EAF"/>
    <w:rsid w:val="00B45032"/>
    <w:rsid w:val="00B46979"/>
    <w:rsid w:val="00B5287E"/>
    <w:rsid w:val="00B5318A"/>
    <w:rsid w:val="00B554D0"/>
    <w:rsid w:val="00B55762"/>
    <w:rsid w:val="00B5772C"/>
    <w:rsid w:val="00B67A16"/>
    <w:rsid w:val="00B67A6B"/>
    <w:rsid w:val="00B7015C"/>
    <w:rsid w:val="00B87C0B"/>
    <w:rsid w:val="00B96F84"/>
    <w:rsid w:val="00BA0FB9"/>
    <w:rsid w:val="00BA4D7B"/>
    <w:rsid w:val="00BA53A5"/>
    <w:rsid w:val="00BB09CD"/>
    <w:rsid w:val="00BB3E60"/>
    <w:rsid w:val="00BC1ED9"/>
    <w:rsid w:val="00BD0F61"/>
    <w:rsid w:val="00BD1583"/>
    <w:rsid w:val="00BD1FAE"/>
    <w:rsid w:val="00BD2908"/>
    <w:rsid w:val="00BD31CC"/>
    <w:rsid w:val="00BD6F63"/>
    <w:rsid w:val="00BE0300"/>
    <w:rsid w:val="00BE41EA"/>
    <w:rsid w:val="00BE4525"/>
    <w:rsid w:val="00BF0104"/>
    <w:rsid w:val="00BF1343"/>
    <w:rsid w:val="00BF2F8B"/>
    <w:rsid w:val="00BF68A7"/>
    <w:rsid w:val="00C01E09"/>
    <w:rsid w:val="00C053AB"/>
    <w:rsid w:val="00C15A2C"/>
    <w:rsid w:val="00C172A8"/>
    <w:rsid w:val="00C23045"/>
    <w:rsid w:val="00C27D8A"/>
    <w:rsid w:val="00C31D0C"/>
    <w:rsid w:val="00C3790D"/>
    <w:rsid w:val="00C44B28"/>
    <w:rsid w:val="00C46C5A"/>
    <w:rsid w:val="00C46C8C"/>
    <w:rsid w:val="00C62F29"/>
    <w:rsid w:val="00C67045"/>
    <w:rsid w:val="00C67584"/>
    <w:rsid w:val="00C7020B"/>
    <w:rsid w:val="00C73462"/>
    <w:rsid w:val="00C738BB"/>
    <w:rsid w:val="00C74323"/>
    <w:rsid w:val="00C80AF1"/>
    <w:rsid w:val="00C814C7"/>
    <w:rsid w:val="00C874B7"/>
    <w:rsid w:val="00C87DF9"/>
    <w:rsid w:val="00C92BF3"/>
    <w:rsid w:val="00CA3808"/>
    <w:rsid w:val="00CA44D6"/>
    <w:rsid w:val="00CA479A"/>
    <w:rsid w:val="00CA70A4"/>
    <w:rsid w:val="00CB1D8A"/>
    <w:rsid w:val="00CB2BDA"/>
    <w:rsid w:val="00CC1CAF"/>
    <w:rsid w:val="00CC4C5F"/>
    <w:rsid w:val="00CD1C2D"/>
    <w:rsid w:val="00CD4FE0"/>
    <w:rsid w:val="00CD5A35"/>
    <w:rsid w:val="00CF107F"/>
    <w:rsid w:val="00CF1F24"/>
    <w:rsid w:val="00CF31E0"/>
    <w:rsid w:val="00CF7739"/>
    <w:rsid w:val="00D02B42"/>
    <w:rsid w:val="00D0787D"/>
    <w:rsid w:val="00D11952"/>
    <w:rsid w:val="00D235E5"/>
    <w:rsid w:val="00D25A98"/>
    <w:rsid w:val="00D27A6A"/>
    <w:rsid w:val="00D40D9A"/>
    <w:rsid w:val="00D47183"/>
    <w:rsid w:val="00D53C7E"/>
    <w:rsid w:val="00D54E9F"/>
    <w:rsid w:val="00D615F4"/>
    <w:rsid w:val="00D61F28"/>
    <w:rsid w:val="00D6395D"/>
    <w:rsid w:val="00D65D25"/>
    <w:rsid w:val="00D73D83"/>
    <w:rsid w:val="00D821AB"/>
    <w:rsid w:val="00D83F55"/>
    <w:rsid w:val="00D90E42"/>
    <w:rsid w:val="00D93459"/>
    <w:rsid w:val="00DA7F66"/>
    <w:rsid w:val="00DB370B"/>
    <w:rsid w:val="00DC0628"/>
    <w:rsid w:val="00DC4041"/>
    <w:rsid w:val="00DC5CFB"/>
    <w:rsid w:val="00DD0A4E"/>
    <w:rsid w:val="00DD6D25"/>
    <w:rsid w:val="00DE12C2"/>
    <w:rsid w:val="00DE14AD"/>
    <w:rsid w:val="00DE4CA2"/>
    <w:rsid w:val="00DE58F0"/>
    <w:rsid w:val="00DF0415"/>
    <w:rsid w:val="00DF1BE9"/>
    <w:rsid w:val="00DF1FC5"/>
    <w:rsid w:val="00E0284A"/>
    <w:rsid w:val="00E03630"/>
    <w:rsid w:val="00E07BC4"/>
    <w:rsid w:val="00E13029"/>
    <w:rsid w:val="00E150D8"/>
    <w:rsid w:val="00E15872"/>
    <w:rsid w:val="00E17627"/>
    <w:rsid w:val="00E3445C"/>
    <w:rsid w:val="00E36E0B"/>
    <w:rsid w:val="00E452D6"/>
    <w:rsid w:val="00E52244"/>
    <w:rsid w:val="00E53A0B"/>
    <w:rsid w:val="00E61742"/>
    <w:rsid w:val="00E75139"/>
    <w:rsid w:val="00E82584"/>
    <w:rsid w:val="00E904A5"/>
    <w:rsid w:val="00E93965"/>
    <w:rsid w:val="00EB03A0"/>
    <w:rsid w:val="00EB3BD1"/>
    <w:rsid w:val="00EC0717"/>
    <w:rsid w:val="00EC10C6"/>
    <w:rsid w:val="00ED13EB"/>
    <w:rsid w:val="00ED3824"/>
    <w:rsid w:val="00ED4891"/>
    <w:rsid w:val="00ED6B97"/>
    <w:rsid w:val="00EF060A"/>
    <w:rsid w:val="00EF08B7"/>
    <w:rsid w:val="00EF2009"/>
    <w:rsid w:val="00EF353D"/>
    <w:rsid w:val="00EF6AD5"/>
    <w:rsid w:val="00F0014B"/>
    <w:rsid w:val="00F0113C"/>
    <w:rsid w:val="00F02E37"/>
    <w:rsid w:val="00F02FA9"/>
    <w:rsid w:val="00F03BB3"/>
    <w:rsid w:val="00F115E2"/>
    <w:rsid w:val="00F12452"/>
    <w:rsid w:val="00F12F43"/>
    <w:rsid w:val="00F16701"/>
    <w:rsid w:val="00F16B68"/>
    <w:rsid w:val="00F16CD5"/>
    <w:rsid w:val="00F50DA1"/>
    <w:rsid w:val="00F61F7C"/>
    <w:rsid w:val="00F678AA"/>
    <w:rsid w:val="00F73515"/>
    <w:rsid w:val="00F77D1B"/>
    <w:rsid w:val="00F815EB"/>
    <w:rsid w:val="00F90A86"/>
    <w:rsid w:val="00F93B21"/>
    <w:rsid w:val="00F969BB"/>
    <w:rsid w:val="00F97632"/>
    <w:rsid w:val="00FA1075"/>
    <w:rsid w:val="00FA544A"/>
    <w:rsid w:val="00FA5763"/>
    <w:rsid w:val="00FB0B52"/>
    <w:rsid w:val="00FB46A4"/>
    <w:rsid w:val="00FB6E37"/>
    <w:rsid w:val="00FC1A69"/>
    <w:rsid w:val="00FC7957"/>
    <w:rsid w:val="00FD1B53"/>
    <w:rsid w:val="00FD388D"/>
    <w:rsid w:val="00FD742E"/>
    <w:rsid w:val="00FE1E5F"/>
    <w:rsid w:val="00FE6E27"/>
    <w:rsid w:val="00FE6F39"/>
    <w:rsid w:val="00FF2CCB"/>
    <w:rsid w:val="00FF370C"/>
    <w:rsid w:val="00FF5EE2"/>
    <w:rsid w:val="00FF6FDD"/>
    <w:rsid w:val="00FF733F"/>
    <w:rsid w:val="0A380987"/>
    <w:rsid w:val="0B23575E"/>
    <w:rsid w:val="0F3B7544"/>
    <w:rsid w:val="0FBC0257"/>
    <w:rsid w:val="18901292"/>
    <w:rsid w:val="191E19A3"/>
    <w:rsid w:val="1D5F129D"/>
    <w:rsid w:val="20E4634C"/>
    <w:rsid w:val="21D543B4"/>
    <w:rsid w:val="28D5194E"/>
    <w:rsid w:val="34812476"/>
    <w:rsid w:val="35530D7A"/>
    <w:rsid w:val="38D6461E"/>
    <w:rsid w:val="3B950A34"/>
    <w:rsid w:val="3C556F6D"/>
    <w:rsid w:val="3EAE3C1A"/>
    <w:rsid w:val="3FD312C1"/>
    <w:rsid w:val="41590DAD"/>
    <w:rsid w:val="4B1D41B5"/>
    <w:rsid w:val="5BAE3A82"/>
    <w:rsid w:val="5D4C2C13"/>
    <w:rsid w:val="5E7B34E5"/>
    <w:rsid w:val="6093567A"/>
    <w:rsid w:val="624909FB"/>
    <w:rsid w:val="627150FF"/>
    <w:rsid w:val="67FF3400"/>
    <w:rsid w:val="6C57360E"/>
    <w:rsid w:val="7BBF534F"/>
    <w:rsid w:val="FF7E2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16"/>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6"/>
    <w:semiHidden/>
    <w:unhideWhenUsed/>
    <w:qFormat/>
    <w:uiPriority w:val="99"/>
    <w:pPr>
      <w:jc w:val="left"/>
    </w:pPr>
  </w:style>
  <w:style w:type="paragraph" w:styleId="5">
    <w:name w:val="Balloon Text"/>
    <w:basedOn w:val="1"/>
    <w:link w:val="21"/>
    <w:semiHidden/>
    <w:unhideWhenUsed/>
    <w:qFormat/>
    <w:uiPriority w:val="99"/>
    <w:rPr>
      <w:sz w:val="18"/>
      <w:szCs w:val="18"/>
    </w:rPr>
  </w:style>
  <w:style w:type="paragraph" w:styleId="6">
    <w:name w:val="footer"/>
    <w:basedOn w:val="1"/>
    <w:link w:val="24"/>
    <w:unhideWhenUsed/>
    <w:qFormat/>
    <w:uiPriority w:val="99"/>
    <w:pPr>
      <w:tabs>
        <w:tab w:val="center" w:pos="4153"/>
        <w:tab w:val="right" w:pos="8306"/>
      </w:tabs>
      <w:snapToGrid w:val="0"/>
      <w:jc w:val="left"/>
    </w:pPr>
    <w:rPr>
      <w:sz w:val="18"/>
      <w:szCs w:val="18"/>
    </w:rPr>
  </w:style>
  <w:style w:type="paragraph" w:styleId="7">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Title"/>
    <w:basedOn w:val="1"/>
    <w:next w:val="1"/>
    <w:link w:val="22"/>
    <w:qFormat/>
    <w:uiPriority w:val="0"/>
    <w:pPr>
      <w:spacing w:before="240" w:after="60"/>
      <w:jc w:val="center"/>
      <w:outlineLvl w:val="0"/>
    </w:pPr>
    <w:rPr>
      <w:rFonts w:ascii="Cambria" w:hAnsi="Cambria" w:eastAsia="宋体" w:cs="Times New Roman"/>
      <w:b/>
      <w:bCs/>
      <w:sz w:val="32"/>
      <w:szCs w:val="32"/>
    </w:rPr>
  </w:style>
  <w:style w:type="paragraph" w:styleId="10">
    <w:name w:val="annotation subject"/>
    <w:basedOn w:val="4"/>
    <w:next w:val="4"/>
    <w:link w:val="27"/>
    <w:semiHidden/>
    <w:unhideWhenUsed/>
    <w:qFormat/>
    <w:uiPriority w:val="99"/>
    <w:rPr>
      <w:b/>
      <w:bCs/>
    </w:rPr>
  </w:style>
  <w:style w:type="character" w:styleId="13">
    <w:name w:val="Strong"/>
    <w:basedOn w:val="12"/>
    <w:qFormat/>
    <w:uiPriority w:val="22"/>
    <w:rPr>
      <w:b/>
      <w:bCs/>
    </w:rPr>
  </w:style>
  <w:style w:type="character" w:styleId="14">
    <w:name w:val="Hyperlink"/>
    <w:basedOn w:val="12"/>
    <w:unhideWhenUsed/>
    <w:qFormat/>
    <w:uiPriority w:val="99"/>
    <w:rPr>
      <w:color w:val="0000FF"/>
      <w:u w:val="single"/>
    </w:rPr>
  </w:style>
  <w:style w:type="character" w:styleId="15">
    <w:name w:val="annotation reference"/>
    <w:basedOn w:val="12"/>
    <w:semiHidden/>
    <w:unhideWhenUsed/>
    <w:qFormat/>
    <w:uiPriority w:val="99"/>
    <w:rPr>
      <w:sz w:val="21"/>
      <w:szCs w:val="21"/>
    </w:rPr>
  </w:style>
  <w:style w:type="character" w:customStyle="1" w:styleId="16">
    <w:name w:val="标题 3 字符"/>
    <w:basedOn w:val="12"/>
    <w:link w:val="3"/>
    <w:qFormat/>
    <w:uiPriority w:val="9"/>
    <w:rPr>
      <w:rFonts w:ascii="宋体" w:hAnsi="宋体" w:eastAsia="宋体" w:cs="宋体"/>
      <w:b/>
      <w:bCs/>
      <w:kern w:val="0"/>
      <w:sz w:val="27"/>
      <w:szCs w:val="27"/>
    </w:rPr>
  </w:style>
  <w:style w:type="paragraph" w:customStyle="1" w:styleId="17">
    <w:name w:val="z-窗体顶端1"/>
    <w:basedOn w:val="1"/>
    <w:next w:val="1"/>
    <w:link w:val="18"/>
    <w:semiHidden/>
    <w:unhideWhenUsed/>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18">
    <w:name w:val="z-窗体顶端 字符"/>
    <w:basedOn w:val="12"/>
    <w:link w:val="17"/>
    <w:semiHidden/>
    <w:qFormat/>
    <w:uiPriority w:val="99"/>
    <w:rPr>
      <w:rFonts w:ascii="Arial" w:hAnsi="Arial" w:eastAsia="宋体" w:cs="Arial"/>
      <w:vanish/>
      <w:kern w:val="0"/>
      <w:sz w:val="16"/>
      <w:szCs w:val="16"/>
    </w:rPr>
  </w:style>
  <w:style w:type="paragraph" w:customStyle="1" w:styleId="19">
    <w:name w:val="z-窗体底端1"/>
    <w:basedOn w:val="1"/>
    <w:next w:val="1"/>
    <w:link w:val="20"/>
    <w:semiHidden/>
    <w:unhideWhenUsed/>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20">
    <w:name w:val="z-窗体底端 字符"/>
    <w:basedOn w:val="12"/>
    <w:link w:val="19"/>
    <w:semiHidden/>
    <w:qFormat/>
    <w:uiPriority w:val="99"/>
    <w:rPr>
      <w:rFonts w:ascii="Arial" w:hAnsi="Arial" w:eastAsia="宋体" w:cs="Arial"/>
      <w:vanish/>
      <w:kern w:val="0"/>
      <w:sz w:val="16"/>
      <w:szCs w:val="16"/>
    </w:rPr>
  </w:style>
  <w:style w:type="character" w:customStyle="1" w:styleId="21">
    <w:name w:val="批注框文本 字符"/>
    <w:basedOn w:val="12"/>
    <w:link w:val="5"/>
    <w:semiHidden/>
    <w:qFormat/>
    <w:uiPriority w:val="99"/>
    <w:rPr>
      <w:sz w:val="18"/>
      <w:szCs w:val="18"/>
    </w:rPr>
  </w:style>
  <w:style w:type="character" w:customStyle="1" w:styleId="22">
    <w:name w:val="标题 字符"/>
    <w:basedOn w:val="12"/>
    <w:link w:val="9"/>
    <w:qFormat/>
    <w:uiPriority w:val="0"/>
    <w:rPr>
      <w:rFonts w:ascii="Cambria" w:hAnsi="Cambria" w:eastAsia="宋体" w:cs="Times New Roman"/>
      <w:b/>
      <w:bCs/>
      <w:sz w:val="32"/>
      <w:szCs w:val="32"/>
    </w:rPr>
  </w:style>
  <w:style w:type="character" w:customStyle="1" w:styleId="23">
    <w:name w:val="页眉 字符"/>
    <w:basedOn w:val="12"/>
    <w:link w:val="7"/>
    <w:qFormat/>
    <w:uiPriority w:val="99"/>
    <w:rPr>
      <w:sz w:val="18"/>
      <w:szCs w:val="18"/>
    </w:rPr>
  </w:style>
  <w:style w:type="character" w:customStyle="1" w:styleId="24">
    <w:name w:val="页脚 字符"/>
    <w:basedOn w:val="12"/>
    <w:link w:val="6"/>
    <w:qFormat/>
    <w:uiPriority w:val="99"/>
    <w:rPr>
      <w:sz w:val="18"/>
      <w:szCs w:val="18"/>
    </w:rPr>
  </w:style>
  <w:style w:type="paragraph" w:customStyle="1" w:styleId="25">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6">
    <w:name w:val="批注文字 字符"/>
    <w:basedOn w:val="12"/>
    <w:link w:val="4"/>
    <w:semiHidden/>
    <w:qFormat/>
    <w:uiPriority w:val="99"/>
  </w:style>
  <w:style w:type="character" w:customStyle="1" w:styleId="27">
    <w:name w:val="批注主题 字符"/>
    <w:basedOn w:val="26"/>
    <w:link w:val="10"/>
    <w:semiHidden/>
    <w:qFormat/>
    <w:uiPriority w:val="99"/>
    <w:rPr>
      <w:b/>
      <w:bCs/>
    </w:rPr>
  </w:style>
  <w:style w:type="character" w:customStyle="1" w:styleId="28">
    <w:name w:val="未处理的提及1"/>
    <w:basedOn w:val="12"/>
    <w:semiHidden/>
    <w:unhideWhenUsed/>
    <w:qFormat/>
    <w:uiPriority w:val="99"/>
    <w:rPr>
      <w:color w:val="605E5C"/>
      <w:shd w:val="clear" w:color="auto" w:fill="E1DFDD"/>
    </w:rPr>
  </w:style>
  <w:style w:type="character" w:customStyle="1" w:styleId="29">
    <w:name w:val="未处理的提及2"/>
    <w:basedOn w:val="12"/>
    <w:semiHidden/>
    <w:unhideWhenUsed/>
    <w:qFormat/>
    <w:uiPriority w:val="99"/>
    <w:rPr>
      <w:color w:val="605E5C"/>
      <w:shd w:val="clear" w:color="auto" w:fill="E1DFDD"/>
    </w:rPr>
  </w:style>
  <w:style w:type="character" w:customStyle="1" w:styleId="30">
    <w:name w:val="标题 1 字符"/>
    <w:basedOn w:val="12"/>
    <w:link w:val="2"/>
    <w:qFormat/>
    <w:uiPriority w:val="9"/>
    <w:rPr>
      <w:b/>
      <w:bCs/>
      <w:kern w:val="44"/>
      <w:sz w:val="44"/>
      <w:szCs w:val="44"/>
    </w:rPr>
  </w:style>
  <w:style w:type="character" w:customStyle="1" w:styleId="31">
    <w:name w:val="Unresolved Mention"/>
    <w:basedOn w:val="12"/>
    <w:semiHidden/>
    <w:unhideWhenUsed/>
    <w:qFormat/>
    <w:uiPriority w:val="99"/>
    <w:rPr>
      <w:color w:val="605E5C"/>
      <w:shd w:val="clear" w:color="auto" w:fill="E1DFDD"/>
    </w:rPr>
  </w:style>
  <w:style w:type="paragraph" w:customStyle="1" w:styleId="32">
    <w:name w:val="p"/>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893</Words>
  <Characters>5091</Characters>
  <Lines>42</Lines>
  <Paragraphs>11</Paragraphs>
  <TotalTime>565</TotalTime>
  <ScaleCrop>false</ScaleCrop>
  <LinksUpToDate>false</LinksUpToDate>
  <CharactersWithSpaces>5973</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2024-10-18T17:38:00Z</dcterms:created>
  <dc:creator>lrn</dc:creator>
  <cp:lastModifiedBy>baixin</cp:lastModifiedBy>
  <cp:lastPrinted>2024-10-25T16:39:00Z</cp:lastPrinted>
  <dcterms:modified xsi:type="dcterms:W3CDTF">2025-08-12T16:25:31Z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6BE398B74E90665E7BFA9A689F74D0CF_43</vt:lpwstr>
  </property>
</Properties>
</file>